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/>
        <w:jc w:val="both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bookmarkStart w:id="0" w:name="_Hlk55776730"/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附件2：</w:t>
      </w:r>
    </w:p>
    <w:p>
      <w:pPr>
        <w:widowControl/>
        <w:spacing w:before="156" w:beforeLines="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校友会2021中国大学排名数据调查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eastAsia="zh-CN"/>
        </w:rPr>
        <w:t>任务分解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表</w:t>
      </w:r>
      <w:bookmarkEnd w:id="0"/>
    </w:p>
    <w:tbl>
      <w:tblPr>
        <w:tblStyle w:val="4"/>
        <w:tblW w:w="9712" w:type="dxa"/>
        <w:jc w:val="center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0"/>
        <w:gridCol w:w="3889"/>
        <w:gridCol w:w="1894"/>
        <w:gridCol w:w="3209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指标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责任部门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协作部门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一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杰出校友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校友会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人事处、发展规划处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二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教学成果奖、精品课程、规划教材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教务处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研究生管理处、发展规划处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杰出教师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人事处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发展规划处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科研奖励、成果和平台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科研管理处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图书馆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国家级、教育部、省部市级科研奖励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科研管理处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国际科研奖励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科研管理处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国内及国际高水平论文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图书馆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科研平台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科研管理处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left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6"/>
                <w:kern w:val="0"/>
                <w:sz w:val="24"/>
                <w:szCs w:val="24"/>
                <w:lang w:val="en-US" w:eastAsia="zh-CN" w:bidi="ar-SA"/>
              </w:rPr>
              <w:t>科研经费、技术转让收入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科研管理处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五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学科专业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发展规划处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研究生管理处、教务处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博士点、硕士点（含联合培养）学科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研究生管理处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发展规划处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国家级、省级、校级重点学科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发展规划处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国家级、省级、校级重点专业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教务处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通过各类认证的专业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教务处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六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社会影响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外事处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到访的外国政要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外事处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七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社会捐赠（校友捐赠）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校友会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财务处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244373"/>
    <w:rsid w:val="1843179F"/>
    <w:rsid w:val="19954293"/>
    <w:rsid w:val="2678713A"/>
    <w:rsid w:val="2C1612A9"/>
    <w:rsid w:val="2DA676D0"/>
    <w:rsid w:val="31F26B07"/>
    <w:rsid w:val="3FA05ECC"/>
    <w:rsid w:val="617A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等线 Light" w:hAnsi="等线 Light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2020-11-17T08:17:21Z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