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30" w:rightChars="-73"/>
        <w:jc w:val="lef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2：</w:t>
      </w:r>
    </w:p>
    <w:p>
      <w:pPr>
        <w:spacing w:line="560" w:lineRule="exact"/>
        <w:ind w:right="-230" w:rightChars="-73"/>
        <w:jc w:val="center"/>
        <w:rPr>
          <w:rFonts w:hint="default" w:ascii="方正小标宋简体" w:eastAsia="方正小标宋简体"/>
          <w:sz w:val="44"/>
          <w:szCs w:val="44"/>
        </w:rPr>
      </w:pPr>
      <w:r>
        <w:rPr>
          <w:rFonts w:hint="eastAsia" w:ascii="方正小标宋简体" w:eastAsia="方正小标宋简体"/>
          <w:sz w:val="44"/>
          <w:szCs w:val="44"/>
          <w:lang w:val="en-US" w:eastAsia="zh-CN"/>
        </w:rPr>
        <w:t>新疆农业大学信息公开事项清单</w:t>
      </w:r>
      <w:r>
        <w:rPr>
          <w:rFonts w:hint="default" w:ascii="方正小标宋简体" w:eastAsia="方正小标宋简体"/>
          <w:sz w:val="44"/>
          <w:szCs w:val="44"/>
        </w:rPr>
        <w:t>任务分解表</w:t>
      </w:r>
    </w:p>
    <w:p>
      <w:pPr>
        <w:spacing w:line="560" w:lineRule="exact"/>
        <w:ind w:right="-230" w:rightChars="-73"/>
        <w:jc w:val="center"/>
        <w:rPr>
          <w:rFonts w:hint="eastAsia"/>
          <w:szCs w:val="32"/>
        </w:rPr>
      </w:pPr>
      <w:r>
        <w:rPr>
          <w:rFonts w:hint="eastAsia"/>
          <w:szCs w:val="32"/>
        </w:rPr>
        <w:t>（共10大类50条）</w:t>
      </w:r>
    </w:p>
    <w:tbl>
      <w:tblPr>
        <w:tblStyle w:val="4"/>
        <w:tblW w:w="14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1"/>
        <w:gridCol w:w="5844"/>
        <w:gridCol w:w="572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9" w:type="dxa"/>
            <w:vMerge w:val="restart"/>
            <w:vAlign w:val="center"/>
          </w:tcPr>
          <w:p>
            <w:pPr>
              <w:widowControl/>
              <w:jc w:val="center"/>
              <w:rPr>
                <w:rFonts w:hint="eastAsia" w:hAnsi="宋体" w:cs="宋体"/>
                <w:b/>
                <w:bCs/>
                <w:kern w:val="0"/>
                <w:sz w:val="24"/>
              </w:rPr>
            </w:pPr>
            <w:r>
              <w:rPr>
                <w:rFonts w:hint="eastAsia" w:hAnsi="宋体" w:cs="宋体"/>
                <w:b/>
                <w:bCs/>
                <w:kern w:val="0"/>
                <w:sz w:val="24"/>
              </w:rPr>
              <w:t>序号</w:t>
            </w:r>
          </w:p>
        </w:tc>
        <w:tc>
          <w:tcPr>
            <w:tcW w:w="1441" w:type="dxa"/>
            <w:vMerge w:val="restart"/>
            <w:vAlign w:val="center"/>
          </w:tcPr>
          <w:p>
            <w:pPr>
              <w:widowControl/>
              <w:jc w:val="center"/>
              <w:rPr>
                <w:rFonts w:hint="eastAsia" w:hAnsi="宋体" w:cs="宋体"/>
                <w:b/>
                <w:bCs/>
                <w:kern w:val="0"/>
                <w:sz w:val="24"/>
              </w:rPr>
            </w:pPr>
            <w:r>
              <w:rPr>
                <w:rFonts w:hint="eastAsia" w:hAnsi="宋体" w:cs="宋体"/>
                <w:b/>
                <w:bCs/>
                <w:kern w:val="0"/>
                <w:sz w:val="24"/>
              </w:rPr>
              <w:t>类</w:t>
            </w:r>
            <w:r>
              <w:rPr>
                <w:rFonts w:hint="eastAsia"/>
                <w:b/>
                <w:bCs/>
                <w:kern w:val="0"/>
                <w:sz w:val="24"/>
              </w:rPr>
              <w:t xml:space="preserve">  </w:t>
            </w:r>
            <w:r>
              <w:rPr>
                <w:rFonts w:hint="eastAsia" w:hAnsi="宋体" w:cs="宋体"/>
                <w:b/>
                <w:bCs/>
                <w:kern w:val="0"/>
                <w:sz w:val="24"/>
              </w:rPr>
              <w:t>别</w:t>
            </w:r>
          </w:p>
        </w:tc>
        <w:tc>
          <w:tcPr>
            <w:tcW w:w="5844" w:type="dxa"/>
            <w:vMerge w:val="restart"/>
            <w:vAlign w:val="center"/>
          </w:tcPr>
          <w:p>
            <w:pPr>
              <w:widowControl/>
              <w:jc w:val="center"/>
              <w:rPr>
                <w:rFonts w:hint="eastAsia" w:hAnsi="宋体" w:cs="宋体"/>
                <w:b/>
                <w:bCs/>
                <w:kern w:val="0"/>
                <w:sz w:val="24"/>
              </w:rPr>
            </w:pPr>
            <w:r>
              <w:rPr>
                <w:rFonts w:hint="eastAsia" w:hAnsi="宋体" w:cs="宋体"/>
                <w:b/>
                <w:bCs/>
                <w:kern w:val="0"/>
                <w:sz w:val="24"/>
              </w:rPr>
              <w:t>公开事项</w:t>
            </w:r>
          </w:p>
        </w:tc>
        <w:tc>
          <w:tcPr>
            <w:tcW w:w="5722" w:type="dxa"/>
            <w:vMerge w:val="restart"/>
            <w:vAlign w:val="center"/>
          </w:tcPr>
          <w:p>
            <w:pPr>
              <w:widowControl/>
              <w:jc w:val="center"/>
              <w:rPr>
                <w:rFonts w:hint="eastAsia" w:hAnsi="宋体" w:cs="宋体"/>
                <w:b/>
                <w:bCs/>
                <w:kern w:val="0"/>
                <w:sz w:val="24"/>
              </w:rPr>
            </w:pPr>
            <w:r>
              <w:rPr>
                <w:rFonts w:hint="eastAsia" w:hAnsi="宋体" w:cs="宋体"/>
                <w:b/>
                <w:bCs/>
                <w:kern w:val="0"/>
                <w:sz w:val="24"/>
              </w:rPr>
              <w:t>有关文件</w:t>
            </w:r>
          </w:p>
        </w:tc>
        <w:tc>
          <w:tcPr>
            <w:tcW w:w="907" w:type="dxa"/>
            <w:vMerge w:val="restart"/>
            <w:vAlign w:val="center"/>
          </w:tcPr>
          <w:p>
            <w:pPr>
              <w:widowControl/>
              <w:jc w:val="center"/>
              <w:rPr>
                <w:rFonts w:hint="eastAsia" w:hAnsi="宋体" w:cs="宋体"/>
                <w:b/>
                <w:bCs/>
                <w:kern w:val="0"/>
                <w:sz w:val="24"/>
              </w:rPr>
            </w:pPr>
            <w:r>
              <w:rPr>
                <w:rFonts w:hint="eastAsia" w:hAnsi="宋体" w:cs="宋体"/>
                <w:b/>
                <w:bCs/>
                <w:kern w:val="0"/>
                <w:sz w:val="24"/>
              </w:rPr>
              <w:t>指导司局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9" w:type="dxa"/>
            <w:vMerge w:val="continue"/>
            <w:vAlign w:val="center"/>
          </w:tcPr>
          <w:p>
            <w:pPr>
              <w:widowControl/>
              <w:jc w:val="left"/>
              <w:rPr>
                <w:rFonts w:hint="eastAsia" w:hAnsi="宋体" w:cs="宋体"/>
                <w:b/>
                <w:bCs/>
                <w:kern w:val="0"/>
                <w:sz w:val="24"/>
              </w:rPr>
            </w:pPr>
          </w:p>
        </w:tc>
        <w:tc>
          <w:tcPr>
            <w:tcW w:w="1441" w:type="dxa"/>
            <w:vMerge w:val="continue"/>
            <w:vAlign w:val="center"/>
          </w:tcPr>
          <w:p>
            <w:pPr>
              <w:widowControl/>
              <w:jc w:val="left"/>
              <w:rPr>
                <w:rFonts w:hint="eastAsia" w:hAnsi="宋体" w:cs="宋体"/>
                <w:b/>
                <w:bCs/>
                <w:kern w:val="0"/>
                <w:sz w:val="24"/>
              </w:rPr>
            </w:pPr>
          </w:p>
        </w:tc>
        <w:tc>
          <w:tcPr>
            <w:tcW w:w="5844" w:type="dxa"/>
            <w:vMerge w:val="continue"/>
            <w:vAlign w:val="center"/>
          </w:tcPr>
          <w:p>
            <w:pPr>
              <w:widowControl/>
              <w:jc w:val="left"/>
              <w:rPr>
                <w:rFonts w:hint="eastAsia" w:hAnsi="宋体" w:cs="宋体"/>
                <w:b/>
                <w:bCs/>
                <w:kern w:val="0"/>
                <w:sz w:val="24"/>
              </w:rPr>
            </w:pPr>
          </w:p>
        </w:tc>
        <w:tc>
          <w:tcPr>
            <w:tcW w:w="5722" w:type="dxa"/>
            <w:vMerge w:val="continue"/>
            <w:vAlign w:val="center"/>
          </w:tcPr>
          <w:p>
            <w:pPr>
              <w:widowControl/>
              <w:jc w:val="left"/>
              <w:rPr>
                <w:rFonts w:hint="eastAsia" w:hAnsi="宋体" w:cs="宋体"/>
                <w:b/>
                <w:bCs/>
                <w:kern w:val="0"/>
                <w:sz w:val="24"/>
              </w:rPr>
            </w:pPr>
          </w:p>
        </w:tc>
        <w:tc>
          <w:tcPr>
            <w:tcW w:w="907" w:type="dxa"/>
            <w:vMerge w:val="continue"/>
            <w:vAlign w:val="center"/>
          </w:tcPr>
          <w:p>
            <w:pPr>
              <w:widowControl/>
              <w:jc w:val="left"/>
              <w:rPr>
                <w:rFonts w:hint="eastAsia"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widowControl/>
              <w:jc w:val="center"/>
              <w:rPr>
                <w:rFonts w:hint="eastAsia"/>
                <w:kern w:val="0"/>
                <w:sz w:val="21"/>
                <w:szCs w:val="21"/>
              </w:rPr>
            </w:pPr>
            <w:r>
              <w:rPr>
                <w:rFonts w:hint="eastAsia"/>
                <w:kern w:val="0"/>
                <w:sz w:val="21"/>
                <w:szCs w:val="21"/>
              </w:rPr>
              <w:t>1</w:t>
            </w:r>
          </w:p>
        </w:tc>
        <w:tc>
          <w:tcPr>
            <w:tcW w:w="1441" w:type="dxa"/>
            <w:vMerge w:val="restart"/>
            <w:vAlign w:val="center"/>
          </w:tcPr>
          <w:p>
            <w:pPr>
              <w:widowControl/>
              <w:jc w:val="center"/>
              <w:rPr>
                <w:rFonts w:hint="eastAsia"/>
                <w:kern w:val="0"/>
                <w:sz w:val="21"/>
                <w:szCs w:val="21"/>
              </w:rPr>
            </w:pPr>
            <w:r>
              <w:rPr>
                <w:rFonts w:hint="eastAsia"/>
                <w:kern w:val="0"/>
                <w:sz w:val="21"/>
                <w:szCs w:val="21"/>
              </w:rPr>
              <w:t>基本信息</w:t>
            </w:r>
            <w:r>
              <w:rPr>
                <w:rFonts w:hint="eastAsia"/>
                <w:kern w:val="0"/>
                <w:sz w:val="21"/>
                <w:szCs w:val="21"/>
              </w:rPr>
              <w:br w:type="textWrapping"/>
            </w:r>
            <w:r>
              <w:rPr>
                <w:rFonts w:hint="eastAsia"/>
                <w:kern w:val="0"/>
                <w:sz w:val="21"/>
                <w:szCs w:val="21"/>
              </w:rPr>
              <w:br w:type="textWrapping"/>
            </w:r>
            <w:r>
              <w:rPr>
                <w:rFonts w:hint="eastAsia"/>
                <w:kern w:val="0"/>
                <w:sz w:val="21"/>
                <w:szCs w:val="21"/>
              </w:rPr>
              <w:t>（6项）</w:t>
            </w:r>
          </w:p>
        </w:tc>
        <w:tc>
          <w:tcPr>
            <w:tcW w:w="5844" w:type="dxa"/>
            <w:vAlign w:val="center"/>
          </w:tcPr>
          <w:p>
            <w:pPr>
              <w:widowControl/>
              <w:numPr>
                <w:ilvl w:val="0"/>
                <w:numId w:val="1"/>
              </w:numPr>
              <w:spacing w:line="240" w:lineRule="auto"/>
              <w:jc w:val="left"/>
              <w:rPr>
                <w:rFonts w:hint="default" w:eastAsia="仿宋_GB2312"/>
                <w:kern w:val="0"/>
                <w:sz w:val="21"/>
                <w:szCs w:val="21"/>
                <w:lang w:val="en-US" w:eastAsia="zh-CN"/>
              </w:rPr>
            </w:pPr>
            <w:r>
              <w:rPr>
                <w:rFonts w:hint="eastAsia"/>
                <w:kern w:val="0"/>
                <w:sz w:val="21"/>
                <w:szCs w:val="21"/>
              </w:rPr>
              <w:t>办学规模、专业情况</w:t>
            </w:r>
            <w:r>
              <w:rPr>
                <w:rFonts w:hint="eastAsia"/>
                <w:b/>
                <w:bCs/>
                <w:color w:val="FF0000"/>
                <w:kern w:val="0"/>
                <w:sz w:val="21"/>
                <w:szCs w:val="21"/>
                <w:lang w:val="en-US" w:eastAsia="zh-CN"/>
              </w:rPr>
              <w:t>（教务处）</w:t>
            </w:r>
            <w:r>
              <w:rPr>
                <w:rFonts w:hint="eastAsia"/>
                <w:kern w:val="0"/>
                <w:sz w:val="21"/>
                <w:szCs w:val="21"/>
              </w:rPr>
              <w:t>、校级领导班子简介及分工</w:t>
            </w:r>
            <w:r>
              <w:rPr>
                <w:rFonts w:hint="eastAsia"/>
                <w:b/>
                <w:bCs/>
                <w:color w:val="FF0000"/>
                <w:kern w:val="0"/>
                <w:sz w:val="21"/>
                <w:szCs w:val="21"/>
                <w:lang w:val="en-US" w:eastAsia="zh-CN"/>
              </w:rPr>
              <w:t>（党办校办）</w:t>
            </w:r>
            <w:r>
              <w:rPr>
                <w:rFonts w:hint="eastAsia"/>
                <w:kern w:val="0"/>
                <w:sz w:val="21"/>
                <w:szCs w:val="21"/>
              </w:rPr>
              <w:t>、学科情况</w:t>
            </w:r>
            <w:r>
              <w:rPr>
                <w:rFonts w:hint="eastAsia"/>
                <w:b/>
                <w:bCs/>
                <w:color w:val="FF0000"/>
                <w:kern w:val="0"/>
                <w:sz w:val="21"/>
                <w:szCs w:val="21"/>
                <w:lang w:val="en-US" w:eastAsia="zh-CN"/>
              </w:rPr>
              <w:t>（发展规划处）</w:t>
            </w:r>
            <w:r>
              <w:rPr>
                <w:rFonts w:hint="eastAsia"/>
                <w:kern w:val="0"/>
                <w:sz w:val="21"/>
                <w:szCs w:val="21"/>
              </w:rPr>
              <w:t>、各类在校生情况</w:t>
            </w:r>
            <w:r>
              <w:rPr>
                <w:rFonts w:hint="eastAsia"/>
                <w:b/>
                <w:bCs/>
                <w:color w:val="FF0000"/>
                <w:kern w:val="0"/>
                <w:sz w:val="21"/>
                <w:szCs w:val="21"/>
                <w:lang w:val="en-US" w:eastAsia="zh-CN"/>
              </w:rPr>
              <w:t>（教务处、学生工作部、研究生院）</w:t>
            </w:r>
            <w:r>
              <w:rPr>
                <w:rFonts w:hint="eastAsia"/>
                <w:kern w:val="0"/>
                <w:sz w:val="21"/>
                <w:szCs w:val="21"/>
              </w:rPr>
              <w:t>、学校机构设置</w:t>
            </w:r>
            <w:r>
              <w:rPr>
                <w:rFonts w:hint="eastAsia"/>
                <w:kern w:val="0"/>
                <w:sz w:val="21"/>
                <w:szCs w:val="21"/>
                <w:lang w:eastAsia="zh-CN"/>
              </w:rPr>
              <w:t>、</w:t>
            </w:r>
            <w:r>
              <w:rPr>
                <w:rFonts w:hint="eastAsia"/>
                <w:kern w:val="0"/>
                <w:sz w:val="21"/>
                <w:szCs w:val="21"/>
              </w:rPr>
              <w:t>教师和专业技术人员数量</w:t>
            </w:r>
            <w:r>
              <w:rPr>
                <w:rFonts w:hint="eastAsia"/>
                <w:b/>
                <w:bCs/>
                <w:color w:val="FF0000"/>
                <w:kern w:val="0"/>
                <w:sz w:val="21"/>
                <w:szCs w:val="21"/>
                <w:lang w:val="en-US" w:eastAsia="zh-CN"/>
              </w:rPr>
              <w:t>（人事处）</w:t>
            </w:r>
            <w:r>
              <w:rPr>
                <w:rFonts w:hint="eastAsia"/>
                <w:kern w:val="0"/>
                <w:sz w:val="21"/>
                <w:szCs w:val="21"/>
              </w:rPr>
              <w:t>等办学基本情况</w:t>
            </w:r>
          </w:p>
        </w:tc>
        <w:tc>
          <w:tcPr>
            <w:tcW w:w="5722" w:type="dxa"/>
            <w:vMerge w:val="restart"/>
            <w:vAlign w:val="center"/>
          </w:tcPr>
          <w:p>
            <w:pPr>
              <w:widowControl/>
              <w:jc w:val="left"/>
              <w:rPr>
                <w:rFonts w:hint="eastAsia"/>
                <w:kern w:val="0"/>
                <w:sz w:val="21"/>
                <w:szCs w:val="21"/>
              </w:rPr>
            </w:pPr>
            <w:r>
              <w:rPr>
                <w:rFonts w:hint="eastAsia"/>
                <w:kern w:val="0"/>
                <w:sz w:val="21"/>
                <w:szCs w:val="21"/>
              </w:rPr>
              <w:t>《高等学校信息公开办法》（教育部令第29号）</w:t>
            </w:r>
            <w:r>
              <w:rPr>
                <w:rFonts w:hint="eastAsia"/>
                <w:kern w:val="0"/>
                <w:sz w:val="21"/>
                <w:szCs w:val="21"/>
              </w:rPr>
              <w:br w:type="textWrapping"/>
            </w:r>
            <w:r>
              <w:rPr>
                <w:rFonts w:hint="eastAsia"/>
                <w:kern w:val="0"/>
                <w:sz w:val="21"/>
                <w:szCs w:val="21"/>
              </w:rPr>
              <w:t>《高等学校章程制定暂行办法》（教育部令第31号）</w:t>
            </w:r>
          </w:p>
        </w:tc>
        <w:tc>
          <w:tcPr>
            <w:tcW w:w="907" w:type="dxa"/>
            <w:vMerge w:val="restart"/>
            <w:vAlign w:val="center"/>
          </w:tcPr>
          <w:p>
            <w:pPr>
              <w:widowControl/>
              <w:jc w:val="center"/>
              <w:rPr>
                <w:rFonts w:hint="eastAsia"/>
                <w:kern w:val="0"/>
                <w:sz w:val="21"/>
                <w:szCs w:val="21"/>
              </w:rPr>
            </w:pPr>
            <w:r>
              <w:rPr>
                <w:rFonts w:hint="eastAsia"/>
                <w:kern w:val="0"/>
                <w:sz w:val="21"/>
                <w:szCs w:val="21"/>
              </w:rPr>
              <w:t>办公厅</w:t>
            </w:r>
            <w:r>
              <w:rPr>
                <w:rFonts w:hint="eastAsia"/>
                <w:kern w:val="0"/>
                <w:sz w:val="21"/>
                <w:szCs w:val="21"/>
              </w:rPr>
              <w:br w:type="textWrapping"/>
            </w:r>
            <w:r>
              <w:rPr>
                <w:rFonts w:hint="eastAsia"/>
                <w:kern w:val="0"/>
                <w:sz w:val="21"/>
                <w:szCs w:val="21"/>
              </w:rPr>
              <w:t>政法司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（2）学校章程及制定的各项规章制度</w:t>
            </w:r>
            <w:r>
              <w:rPr>
                <w:rFonts w:hint="eastAsia"/>
                <w:b/>
                <w:bCs/>
                <w:color w:val="FF0000"/>
                <w:kern w:val="0"/>
                <w:sz w:val="21"/>
                <w:szCs w:val="21"/>
                <w:lang w:val="en-US" w:eastAsia="zh-CN"/>
              </w:rPr>
              <w:t>（发展规划处、党办校办）</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（3）教职工代表大会相关制度、工作报告</w:t>
            </w:r>
            <w:r>
              <w:rPr>
                <w:rFonts w:hint="eastAsia"/>
                <w:b/>
                <w:bCs/>
                <w:color w:val="FF0000"/>
                <w:kern w:val="0"/>
                <w:sz w:val="21"/>
                <w:szCs w:val="21"/>
                <w:lang w:val="en-US" w:eastAsia="zh-CN"/>
              </w:rPr>
              <w:t>（工会）</w:t>
            </w:r>
          </w:p>
        </w:tc>
        <w:tc>
          <w:tcPr>
            <w:tcW w:w="5722" w:type="dxa"/>
            <w:vAlign w:val="center"/>
          </w:tcPr>
          <w:p>
            <w:pPr>
              <w:widowControl/>
              <w:jc w:val="left"/>
              <w:rPr>
                <w:rFonts w:hint="eastAsia"/>
                <w:kern w:val="0"/>
                <w:sz w:val="21"/>
                <w:szCs w:val="21"/>
              </w:rPr>
            </w:pPr>
            <w:r>
              <w:rPr>
                <w:rFonts w:hint="eastAsia"/>
                <w:kern w:val="0"/>
                <w:sz w:val="21"/>
                <w:szCs w:val="21"/>
              </w:rPr>
              <w:t>《学校教职工代表大会规定》（教育部令第32号）</w:t>
            </w:r>
          </w:p>
        </w:tc>
        <w:tc>
          <w:tcPr>
            <w:tcW w:w="907" w:type="dxa"/>
            <w:vMerge w:val="restart"/>
            <w:vAlign w:val="center"/>
          </w:tcPr>
          <w:p>
            <w:pPr>
              <w:widowControl/>
              <w:jc w:val="center"/>
              <w:rPr>
                <w:rFonts w:hint="eastAsia"/>
                <w:kern w:val="0"/>
                <w:sz w:val="21"/>
                <w:szCs w:val="21"/>
              </w:rPr>
            </w:pPr>
            <w:r>
              <w:rPr>
                <w:rFonts w:hint="eastAsia"/>
                <w:kern w:val="0"/>
                <w:sz w:val="21"/>
                <w:szCs w:val="21"/>
              </w:rPr>
              <w:t>政法司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（4）学术委员会相关制度、年度报告</w:t>
            </w:r>
            <w:r>
              <w:rPr>
                <w:rFonts w:hint="eastAsia"/>
                <w:b/>
                <w:bCs/>
                <w:color w:val="FF0000"/>
                <w:kern w:val="0"/>
                <w:sz w:val="21"/>
                <w:szCs w:val="21"/>
                <w:lang w:val="en-US" w:eastAsia="zh-CN"/>
              </w:rPr>
              <w:t>（科学技术处）</w:t>
            </w:r>
          </w:p>
        </w:tc>
        <w:tc>
          <w:tcPr>
            <w:tcW w:w="5722" w:type="dxa"/>
            <w:vAlign w:val="center"/>
          </w:tcPr>
          <w:p>
            <w:pPr>
              <w:widowControl/>
              <w:jc w:val="left"/>
              <w:rPr>
                <w:rFonts w:hint="eastAsia"/>
                <w:kern w:val="0"/>
                <w:sz w:val="21"/>
                <w:szCs w:val="21"/>
              </w:rPr>
            </w:pPr>
            <w:r>
              <w:rPr>
                <w:rFonts w:hint="eastAsia"/>
                <w:kern w:val="0"/>
                <w:sz w:val="21"/>
                <w:szCs w:val="21"/>
              </w:rPr>
              <w:t>《高等学校学术委员会规程》（教育部令第35号）</w:t>
            </w: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（5）学校发展规划、年度工作计划及重点工作安排</w:t>
            </w:r>
            <w:r>
              <w:rPr>
                <w:rFonts w:hint="eastAsia"/>
                <w:b/>
                <w:bCs/>
                <w:color w:val="FF0000"/>
                <w:kern w:val="0"/>
                <w:sz w:val="21"/>
                <w:szCs w:val="21"/>
                <w:lang w:val="en-US" w:eastAsia="zh-CN"/>
              </w:rPr>
              <w:t>（发展规划处、党办校办）</w:t>
            </w:r>
          </w:p>
        </w:tc>
        <w:tc>
          <w:tcPr>
            <w:tcW w:w="5722" w:type="dxa"/>
            <w:vAlign w:val="center"/>
          </w:tcPr>
          <w:p>
            <w:pPr>
              <w:widowControl/>
              <w:jc w:val="left"/>
              <w:rPr>
                <w:rFonts w:hint="eastAsia"/>
                <w:kern w:val="0"/>
                <w:sz w:val="21"/>
                <w:szCs w:val="21"/>
              </w:rPr>
            </w:pPr>
            <w:r>
              <w:rPr>
                <w:rFonts w:hint="eastAsia"/>
                <w:kern w:val="0"/>
                <w:sz w:val="21"/>
                <w:szCs w:val="21"/>
              </w:rPr>
              <w:t>《高等学校信息公开办法》（教育部令第29号）</w:t>
            </w:r>
          </w:p>
        </w:tc>
        <w:tc>
          <w:tcPr>
            <w:tcW w:w="907" w:type="dxa"/>
            <w:vAlign w:val="center"/>
          </w:tcPr>
          <w:p>
            <w:pPr>
              <w:widowControl/>
              <w:jc w:val="center"/>
              <w:rPr>
                <w:rFonts w:hint="eastAsia"/>
                <w:kern w:val="0"/>
                <w:sz w:val="21"/>
                <w:szCs w:val="21"/>
              </w:rPr>
            </w:pPr>
            <w:r>
              <w:rPr>
                <w:rFonts w:hint="eastAsia"/>
                <w:kern w:val="0"/>
                <w:sz w:val="21"/>
                <w:szCs w:val="21"/>
              </w:rPr>
              <w:t>规划司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（6）信息公开年度报告</w:t>
            </w:r>
            <w:r>
              <w:rPr>
                <w:rFonts w:hint="eastAsia"/>
                <w:b/>
                <w:bCs/>
                <w:color w:val="FF0000"/>
                <w:kern w:val="0"/>
                <w:sz w:val="21"/>
                <w:szCs w:val="21"/>
                <w:lang w:val="en-US" w:eastAsia="zh-CN"/>
              </w:rPr>
              <w:t>（发展规划处）</w:t>
            </w:r>
          </w:p>
        </w:tc>
        <w:tc>
          <w:tcPr>
            <w:tcW w:w="5722" w:type="dxa"/>
            <w:vAlign w:val="center"/>
          </w:tcPr>
          <w:p>
            <w:pPr>
              <w:widowControl/>
              <w:jc w:val="left"/>
              <w:rPr>
                <w:rFonts w:hint="eastAsia"/>
                <w:kern w:val="0"/>
                <w:sz w:val="21"/>
                <w:szCs w:val="21"/>
              </w:rPr>
            </w:pPr>
            <w:r>
              <w:rPr>
                <w:rFonts w:hint="eastAsia"/>
                <w:kern w:val="0"/>
                <w:sz w:val="21"/>
                <w:szCs w:val="21"/>
              </w:rPr>
              <w:t>《教育部办公厅关于做好2012-2013学年度高校信息公开年度报告工作的通知》（教办厅函〔2013〕48号）</w:t>
            </w:r>
          </w:p>
        </w:tc>
        <w:tc>
          <w:tcPr>
            <w:tcW w:w="907" w:type="dxa"/>
            <w:vAlign w:val="center"/>
          </w:tcPr>
          <w:p>
            <w:pPr>
              <w:widowControl/>
              <w:jc w:val="center"/>
              <w:rPr>
                <w:rFonts w:hint="eastAsia"/>
                <w:kern w:val="0"/>
                <w:sz w:val="21"/>
                <w:szCs w:val="21"/>
              </w:rPr>
            </w:pPr>
            <w:r>
              <w:rPr>
                <w:rFonts w:hint="eastAsia"/>
                <w:kern w:val="0"/>
                <w:sz w:val="21"/>
                <w:szCs w:val="21"/>
              </w:rPr>
              <w:t>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09" w:type="dxa"/>
            <w:vMerge w:val="restart"/>
            <w:vAlign w:val="center"/>
          </w:tcPr>
          <w:p>
            <w:pPr>
              <w:widowControl/>
              <w:jc w:val="center"/>
              <w:rPr>
                <w:rFonts w:hint="eastAsia"/>
                <w:kern w:val="0"/>
                <w:sz w:val="21"/>
                <w:szCs w:val="21"/>
              </w:rPr>
            </w:pPr>
          </w:p>
          <w:p>
            <w:pPr>
              <w:widowControl/>
              <w:jc w:val="center"/>
              <w:rPr>
                <w:rFonts w:hint="eastAsia"/>
                <w:kern w:val="0"/>
                <w:sz w:val="21"/>
                <w:szCs w:val="21"/>
              </w:rPr>
            </w:pPr>
          </w:p>
          <w:p>
            <w:pPr>
              <w:widowControl/>
              <w:jc w:val="center"/>
              <w:rPr>
                <w:rFonts w:hint="eastAsia"/>
                <w:kern w:val="0"/>
                <w:sz w:val="21"/>
                <w:szCs w:val="21"/>
              </w:rPr>
            </w:pPr>
          </w:p>
          <w:p>
            <w:pPr>
              <w:widowControl/>
              <w:jc w:val="center"/>
              <w:rPr>
                <w:rFonts w:hint="eastAsia"/>
                <w:kern w:val="0"/>
                <w:sz w:val="21"/>
                <w:szCs w:val="21"/>
              </w:rPr>
            </w:pPr>
          </w:p>
          <w:p>
            <w:pPr>
              <w:widowControl/>
              <w:jc w:val="center"/>
              <w:rPr>
                <w:rFonts w:hint="eastAsia"/>
                <w:kern w:val="0"/>
                <w:sz w:val="21"/>
                <w:szCs w:val="21"/>
              </w:rPr>
            </w:pPr>
          </w:p>
          <w:p>
            <w:pPr>
              <w:widowControl/>
              <w:jc w:val="center"/>
              <w:rPr>
                <w:rFonts w:hint="eastAsia"/>
                <w:kern w:val="0"/>
                <w:sz w:val="21"/>
                <w:szCs w:val="21"/>
              </w:rPr>
            </w:pPr>
          </w:p>
          <w:p>
            <w:pPr>
              <w:widowControl/>
              <w:jc w:val="center"/>
              <w:rPr>
                <w:rFonts w:hint="eastAsia"/>
                <w:kern w:val="0"/>
                <w:sz w:val="21"/>
                <w:szCs w:val="21"/>
              </w:rPr>
            </w:pPr>
            <w:r>
              <w:rPr>
                <w:rFonts w:hint="eastAsia"/>
                <w:kern w:val="0"/>
                <w:sz w:val="21"/>
                <w:szCs w:val="21"/>
              </w:rPr>
              <w:t>2</w:t>
            </w:r>
          </w:p>
        </w:tc>
        <w:tc>
          <w:tcPr>
            <w:tcW w:w="1441" w:type="dxa"/>
            <w:vMerge w:val="restart"/>
            <w:vAlign w:val="center"/>
          </w:tcPr>
          <w:p>
            <w:pPr>
              <w:widowControl/>
              <w:jc w:val="center"/>
              <w:rPr>
                <w:rFonts w:hint="eastAsia"/>
                <w:kern w:val="0"/>
                <w:sz w:val="21"/>
                <w:szCs w:val="21"/>
              </w:rPr>
            </w:pPr>
          </w:p>
          <w:p>
            <w:pPr>
              <w:widowControl/>
              <w:jc w:val="center"/>
              <w:rPr>
                <w:rFonts w:hint="eastAsia"/>
                <w:kern w:val="0"/>
                <w:sz w:val="21"/>
                <w:szCs w:val="21"/>
              </w:rPr>
            </w:pPr>
          </w:p>
          <w:p>
            <w:pPr>
              <w:widowControl/>
              <w:jc w:val="center"/>
              <w:rPr>
                <w:rFonts w:hint="eastAsia"/>
                <w:kern w:val="0"/>
                <w:sz w:val="21"/>
                <w:szCs w:val="21"/>
              </w:rPr>
            </w:pPr>
          </w:p>
          <w:p>
            <w:pPr>
              <w:widowControl/>
              <w:jc w:val="center"/>
              <w:rPr>
                <w:rFonts w:hint="eastAsia"/>
                <w:kern w:val="0"/>
                <w:sz w:val="21"/>
                <w:szCs w:val="21"/>
              </w:rPr>
            </w:pPr>
          </w:p>
          <w:p>
            <w:pPr>
              <w:widowControl/>
              <w:jc w:val="center"/>
              <w:rPr>
                <w:rFonts w:hint="eastAsia"/>
                <w:kern w:val="0"/>
                <w:sz w:val="21"/>
                <w:szCs w:val="21"/>
              </w:rPr>
            </w:pPr>
            <w:r>
              <w:rPr>
                <w:rFonts w:hint="eastAsia"/>
                <w:kern w:val="0"/>
                <w:sz w:val="21"/>
                <w:szCs w:val="21"/>
              </w:rPr>
              <w:t>招生考试</w:t>
            </w:r>
          </w:p>
          <w:p>
            <w:pPr>
              <w:widowControl/>
              <w:jc w:val="center"/>
              <w:rPr>
                <w:rFonts w:hint="eastAsia"/>
                <w:kern w:val="0"/>
                <w:sz w:val="21"/>
                <w:szCs w:val="21"/>
              </w:rPr>
            </w:pPr>
            <w:r>
              <w:rPr>
                <w:rFonts w:hint="eastAsia"/>
                <w:kern w:val="0"/>
                <w:sz w:val="21"/>
                <w:szCs w:val="21"/>
              </w:rPr>
              <w:t>信息</w:t>
            </w:r>
            <w:r>
              <w:rPr>
                <w:rFonts w:hint="eastAsia"/>
                <w:kern w:val="0"/>
                <w:sz w:val="21"/>
                <w:szCs w:val="21"/>
              </w:rPr>
              <w:br w:type="textWrapping"/>
            </w:r>
            <w:r>
              <w:rPr>
                <w:rFonts w:hint="eastAsia"/>
                <w:kern w:val="0"/>
                <w:sz w:val="21"/>
                <w:szCs w:val="21"/>
              </w:rPr>
              <w:t>（8项）</w:t>
            </w:r>
          </w:p>
        </w:tc>
        <w:tc>
          <w:tcPr>
            <w:tcW w:w="5844" w:type="dxa"/>
            <w:vAlign w:val="center"/>
          </w:tcPr>
          <w:p>
            <w:pPr>
              <w:widowControl/>
              <w:jc w:val="left"/>
              <w:rPr>
                <w:rFonts w:hint="eastAsia"/>
                <w:kern w:val="0"/>
                <w:sz w:val="21"/>
                <w:szCs w:val="21"/>
              </w:rPr>
            </w:pPr>
            <w:r>
              <w:rPr>
                <w:rFonts w:hint="eastAsia"/>
                <w:kern w:val="0"/>
                <w:sz w:val="21"/>
                <w:szCs w:val="21"/>
              </w:rPr>
              <w:t>（7）招生章程及特殊类型招生办法，分批次、分科类招生计划</w:t>
            </w:r>
            <w:r>
              <w:rPr>
                <w:rFonts w:hint="eastAsia"/>
                <w:b/>
                <w:bCs/>
                <w:color w:val="FF0000"/>
                <w:kern w:val="0"/>
                <w:sz w:val="21"/>
                <w:szCs w:val="21"/>
                <w:lang w:val="en-US" w:eastAsia="zh-CN"/>
              </w:rPr>
              <w:t>（学生工作部、研究生院）</w:t>
            </w:r>
          </w:p>
        </w:tc>
        <w:tc>
          <w:tcPr>
            <w:tcW w:w="5722" w:type="dxa"/>
            <w:vMerge w:val="restart"/>
            <w:vAlign w:val="center"/>
          </w:tcPr>
          <w:p>
            <w:pPr>
              <w:widowControl/>
              <w:jc w:val="left"/>
              <w:rPr>
                <w:rFonts w:hint="eastAsia"/>
                <w:kern w:val="0"/>
                <w:sz w:val="21"/>
                <w:szCs w:val="21"/>
              </w:rPr>
            </w:pPr>
            <w:r>
              <w:rPr>
                <w:rFonts w:hint="eastAsia"/>
                <w:kern w:val="0"/>
                <w:sz w:val="21"/>
                <w:szCs w:val="21"/>
              </w:rPr>
              <w:t>《国务院办公厅关于印发当前政府信息公开重点工作安排的通知》（国办发〔2013〕73号）</w:t>
            </w:r>
            <w:r>
              <w:rPr>
                <w:rFonts w:hint="eastAsia"/>
                <w:kern w:val="0"/>
                <w:sz w:val="21"/>
                <w:szCs w:val="21"/>
              </w:rPr>
              <w:br w:type="textWrapping"/>
            </w:r>
            <w:r>
              <w:rPr>
                <w:rFonts w:hint="eastAsia"/>
                <w:kern w:val="0"/>
                <w:sz w:val="21"/>
                <w:szCs w:val="21"/>
              </w:rPr>
              <w:t>《高等学校信息公开办法》（教育部令第29号）</w:t>
            </w:r>
            <w:r>
              <w:rPr>
                <w:rFonts w:hint="eastAsia"/>
                <w:kern w:val="0"/>
                <w:sz w:val="21"/>
                <w:szCs w:val="21"/>
              </w:rPr>
              <w:br w:type="textWrapping"/>
            </w:r>
            <w:r>
              <w:rPr>
                <w:rFonts w:hint="eastAsia"/>
                <w:kern w:val="0"/>
                <w:sz w:val="21"/>
                <w:szCs w:val="21"/>
              </w:rPr>
              <w:t>《教育部关于进一步推进高校招生信息公开工作的通知》（教学函〔2013〕9号）</w:t>
            </w:r>
            <w:r>
              <w:rPr>
                <w:rFonts w:hint="eastAsia"/>
                <w:kern w:val="0"/>
                <w:sz w:val="21"/>
                <w:szCs w:val="21"/>
              </w:rPr>
              <w:br w:type="textWrapping"/>
            </w:r>
            <w:r>
              <w:rPr>
                <w:rFonts w:hint="eastAsia"/>
                <w:kern w:val="0"/>
                <w:sz w:val="21"/>
                <w:szCs w:val="21"/>
              </w:rPr>
              <w:t>《普通高等学校招生违规行为处理暂行办法》（教育部令第36号）</w:t>
            </w:r>
          </w:p>
        </w:tc>
        <w:tc>
          <w:tcPr>
            <w:tcW w:w="907" w:type="dxa"/>
            <w:vMerge w:val="restart"/>
            <w:vAlign w:val="center"/>
          </w:tcPr>
          <w:p>
            <w:pPr>
              <w:widowControl/>
              <w:jc w:val="center"/>
              <w:rPr>
                <w:rFonts w:hint="eastAsia"/>
                <w:kern w:val="0"/>
                <w:sz w:val="21"/>
                <w:szCs w:val="21"/>
              </w:rPr>
            </w:pPr>
            <w:r>
              <w:rPr>
                <w:rFonts w:hint="eastAsia"/>
                <w:kern w:val="0"/>
                <w:sz w:val="21"/>
                <w:szCs w:val="21"/>
              </w:rPr>
              <w:t>学生司</w:t>
            </w:r>
            <w:r>
              <w:rPr>
                <w:rFonts w:hint="eastAsia"/>
                <w:kern w:val="0"/>
                <w:sz w:val="21"/>
                <w:szCs w:val="21"/>
              </w:rPr>
              <w:br w:type="textWrapping"/>
            </w:r>
            <w:r>
              <w:rPr>
                <w:rFonts w:hint="eastAsia"/>
                <w:kern w:val="0"/>
                <w:sz w:val="21"/>
                <w:szCs w:val="21"/>
              </w:rPr>
              <w:t>规划司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（8）保送、自主选拔录取、高水平运动员和艺术特长生招生等特殊类型招生入选考生资格及测试结果</w:t>
            </w:r>
            <w:r>
              <w:rPr>
                <w:rFonts w:hint="eastAsia"/>
                <w:b/>
                <w:bCs/>
                <w:color w:val="FF0000"/>
                <w:kern w:val="0"/>
                <w:sz w:val="21"/>
                <w:szCs w:val="21"/>
                <w:lang w:val="en-US" w:eastAsia="zh-CN"/>
              </w:rPr>
              <w:t>（学生工作部）</w:t>
            </w:r>
          </w:p>
          <w:p>
            <w:pPr>
              <w:jc w:val="left"/>
              <w:rPr>
                <w:rFonts w:hint="eastAsia"/>
                <w:kern w:val="0"/>
                <w:sz w:val="21"/>
                <w:szCs w:val="21"/>
              </w:rPr>
            </w:pPr>
            <w:r>
              <w:rPr>
                <w:rFonts w:hint="eastAsia"/>
                <w:kern w:val="0"/>
                <w:sz w:val="21"/>
                <w:szCs w:val="21"/>
              </w:rPr>
              <w:t>（9）考生个人录取信息查询渠道和办法，分批次、分科类录取人数和录取最低分</w:t>
            </w:r>
            <w:r>
              <w:rPr>
                <w:rFonts w:hint="eastAsia"/>
                <w:b/>
                <w:bCs/>
                <w:color w:val="FF0000"/>
                <w:kern w:val="0"/>
                <w:sz w:val="21"/>
                <w:szCs w:val="21"/>
                <w:lang w:val="en-US" w:eastAsia="zh-CN"/>
              </w:rPr>
              <w:t>（学生工作部、研究生院）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（10）招生咨询及考生申诉渠道，新生复查期间有关举报、调查及处理结果</w:t>
            </w:r>
            <w:r>
              <w:rPr>
                <w:rFonts w:hint="eastAsia"/>
                <w:b/>
                <w:bCs/>
                <w:color w:val="FF0000"/>
                <w:kern w:val="0"/>
                <w:sz w:val="21"/>
                <w:szCs w:val="21"/>
                <w:lang w:val="en-US" w:eastAsia="zh-CN"/>
              </w:rPr>
              <w:t>（学生工作部、研究生院）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（11）研究生招生简章、招生专业目录、复试录取办法，各院（系、所）或学科、专业招收研究生人数</w:t>
            </w:r>
            <w:r>
              <w:rPr>
                <w:rFonts w:hint="eastAsia"/>
                <w:b/>
                <w:bCs/>
                <w:color w:val="FF0000"/>
                <w:kern w:val="0"/>
                <w:sz w:val="21"/>
                <w:szCs w:val="21"/>
                <w:lang w:val="en-US" w:eastAsia="zh-CN"/>
              </w:rPr>
              <w:t>（研究生院）</w:t>
            </w:r>
          </w:p>
        </w:tc>
        <w:tc>
          <w:tcPr>
            <w:tcW w:w="5722" w:type="dxa"/>
            <w:vMerge w:val="restart"/>
            <w:vAlign w:val="center"/>
          </w:tcPr>
          <w:p>
            <w:pPr>
              <w:widowControl/>
              <w:jc w:val="left"/>
              <w:rPr>
                <w:rFonts w:hint="eastAsia"/>
                <w:kern w:val="0"/>
                <w:sz w:val="21"/>
                <w:szCs w:val="21"/>
              </w:rPr>
            </w:pPr>
            <w:r>
              <w:rPr>
                <w:rFonts w:hint="eastAsia"/>
                <w:kern w:val="0"/>
                <w:sz w:val="21"/>
                <w:szCs w:val="21"/>
              </w:rPr>
              <w:t>《教育部关于做好2014年全国硕士学位研究生招生工作的通知》（教学〔2013〕12号）</w:t>
            </w:r>
            <w:r>
              <w:rPr>
                <w:rFonts w:hint="eastAsia"/>
                <w:kern w:val="0"/>
                <w:sz w:val="21"/>
                <w:szCs w:val="21"/>
              </w:rPr>
              <w:br w:type="textWrapping"/>
            </w:r>
            <w:r>
              <w:rPr>
                <w:rFonts w:hint="eastAsia"/>
                <w:kern w:val="0"/>
                <w:sz w:val="21"/>
                <w:szCs w:val="21"/>
              </w:rPr>
              <w:t>《教育部办公厅关于做好2014年硕士学位研究生招生考试执法监督工作的通知》（教监厅〔2013〕2号）</w:t>
            </w: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（12）参加研究生复试的考生成绩</w:t>
            </w:r>
            <w:r>
              <w:rPr>
                <w:rFonts w:hint="eastAsia"/>
                <w:b/>
                <w:bCs/>
                <w:color w:val="FF0000"/>
                <w:kern w:val="0"/>
                <w:sz w:val="21"/>
                <w:szCs w:val="21"/>
                <w:lang w:val="en-US" w:eastAsia="zh-CN"/>
              </w:rPr>
              <w:t>（研究生院）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（13）拟录取研究生名单</w:t>
            </w:r>
            <w:r>
              <w:rPr>
                <w:rFonts w:hint="eastAsia"/>
                <w:b/>
                <w:bCs/>
                <w:color w:val="FF0000"/>
                <w:kern w:val="0"/>
                <w:sz w:val="21"/>
                <w:szCs w:val="21"/>
                <w:lang w:val="en-US" w:eastAsia="zh-CN"/>
              </w:rPr>
              <w:t>（研究生院）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（14）研究生招生咨询及申诉渠道</w:t>
            </w:r>
            <w:r>
              <w:rPr>
                <w:rFonts w:hint="eastAsia"/>
                <w:b/>
                <w:bCs/>
                <w:color w:val="FF0000"/>
                <w:kern w:val="0"/>
                <w:sz w:val="21"/>
                <w:szCs w:val="21"/>
                <w:lang w:val="en-US" w:eastAsia="zh-CN"/>
              </w:rPr>
              <w:t>（研究生院）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widowControl/>
              <w:jc w:val="center"/>
              <w:rPr>
                <w:rFonts w:hint="eastAsia"/>
                <w:kern w:val="0"/>
                <w:sz w:val="21"/>
                <w:szCs w:val="21"/>
              </w:rPr>
            </w:pPr>
            <w:r>
              <w:rPr>
                <w:rFonts w:hint="eastAsia"/>
                <w:kern w:val="0"/>
                <w:sz w:val="21"/>
                <w:szCs w:val="21"/>
              </w:rPr>
              <w:t>3</w:t>
            </w:r>
          </w:p>
        </w:tc>
        <w:tc>
          <w:tcPr>
            <w:tcW w:w="1441" w:type="dxa"/>
            <w:vMerge w:val="restart"/>
            <w:vAlign w:val="center"/>
          </w:tcPr>
          <w:p>
            <w:pPr>
              <w:widowControl/>
              <w:jc w:val="center"/>
              <w:rPr>
                <w:rFonts w:hint="eastAsia"/>
                <w:kern w:val="0"/>
                <w:sz w:val="21"/>
                <w:szCs w:val="21"/>
              </w:rPr>
            </w:pPr>
            <w:r>
              <w:rPr>
                <w:rFonts w:hint="eastAsia"/>
                <w:kern w:val="0"/>
                <w:sz w:val="21"/>
                <w:szCs w:val="21"/>
              </w:rPr>
              <w:t>财务、资产及收费信息</w:t>
            </w:r>
            <w:r>
              <w:rPr>
                <w:rFonts w:hint="eastAsia"/>
                <w:kern w:val="0"/>
                <w:sz w:val="21"/>
                <w:szCs w:val="21"/>
              </w:rPr>
              <w:br w:type="textWrapping"/>
            </w:r>
            <w:r>
              <w:rPr>
                <w:rFonts w:hint="eastAsia"/>
                <w:kern w:val="0"/>
                <w:sz w:val="21"/>
                <w:szCs w:val="21"/>
              </w:rPr>
              <w:t>（7项）</w:t>
            </w:r>
          </w:p>
        </w:tc>
        <w:tc>
          <w:tcPr>
            <w:tcW w:w="5844" w:type="dxa"/>
            <w:vAlign w:val="center"/>
          </w:tcPr>
          <w:p>
            <w:pPr>
              <w:widowControl/>
              <w:jc w:val="left"/>
              <w:rPr>
                <w:rFonts w:hint="eastAsia"/>
                <w:kern w:val="0"/>
                <w:sz w:val="21"/>
                <w:szCs w:val="21"/>
              </w:rPr>
            </w:pPr>
            <w:r>
              <w:rPr>
                <w:rFonts w:hint="eastAsia"/>
                <w:kern w:val="0"/>
                <w:sz w:val="21"/>
                <w:szCs w:val="21"/>
              </w:rPr>
              <w:t>（15）财务、资产管理制度</w:t>
            </w:r>
            <w:r>
              <w:rPr>
                <w:rFonts w:hint="eastAsia"/>
                <w:b/>
                <w:bCs/>
                <w:color w:val="FF0000"/>
                <w:kern w:val="0"/>
                <w:sz w:val="21"/>
                <w:szCs w:val="21"/>
                <w:lang w:val="en-US" w:eastAsia="zh-CN"/>
              </w:rPr>
              <w:t>（财务处、国有资产管理处）</w:t>
            </w:r>
          </w:p>
        </w:tc>
        <w:tc>
          <w:tcPr>
            <w:tcW w:w="5722" w:type="dxa"/>
            <w:vMerge w:val="restart"/>
            <w:vAlign w:val="center"/>
          </w:tcPr>
          <w:p>
            <w:pPr>
              <w:widowControl/>
              <w:jc w:val="left"/>
              <w:rPr>
                <w:rFonts w:hint="eastAsia"/>
                <w:kern w:val="0"/>
                <w:sz w:val="21"/>
                <w:szCs w:val="21"/>
              </w:rPr>
            </w:pPr>
            <w:r>
              <w:rPr>
                <w:rFonts w:hint="eastAsia"/>
                <w:kern w:val="0"/>
                <w:sz w:val="21"/>
                <w:szCs w:val="21"/>
              </w:rPr>
              <w:t xml:space="preserve">《高等学校信息公开办法》（教育部令第29号） </w:t>
            </w:r>
          </w:p>
        </w:tc>
        <w:tc>
          <w:tcPr>
            <w:tcW w:w="907" w:type="dxa"/>
            <w:vMerge w:val="restart"/>
            <w:vAlign w:val="center"/>
          </w:tcPr>
          <w:p>
            <w:pPr>
              <w:widowControl/>
              <w:jc w:val="center"/>
              <w:rPr>
                <w:rFonts w:hint="eastAsia"/>
                <w:kern w:val="0"/>
                <w:sz w:val="21"/>
                <w:szCs w:val="21"/>
              </w:rPr>
            </w:pPr>
            <w:r>
              <w:rPr>
                <w:rFonts w:hint="eastAsia"/>
                <w:kern w:val="0"/>
                <w:sz w:val="21"/>
                <w:szCs w:val="21"/>
              </w:rPr>
              <w:t>财务司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（16）受捐赠财产的使用与管理情况</w:t>
            </w:r>
            <w:r>
              <w:rPr>
                <w:rFonts w:hint="eastAsia"/>
                <w:b/>
                <w:bCs/>
                <w:color w:val="FF0000"/>
                <w:kern w:val="0"/>
                <w:sz w:val="21"/>
                <w:szCs w:val="21"/>
                <w:lang w:val="en-US" w:eastAsia="zh-CN"/>
              </w:rPr>
              <w:t>（校友会、国有资产管理处）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（17）校办企业资产、负债、国有资产保值增值等信息</w:t>
            </w:r>
            <w:r>
              <w:rPr>
                <w:rFonts w:hint="eastAsia"/>
                <w:b/>
                <w:bCs/>
                <w:color w:val="FF0000"/>
                <w:kern w:val="0"/>
                <w:sz w:val="21"/>
                <w:szCs w:val="21"/>
                <w:lang w:val="en-US" w:eastAsia="zh-CN"/>
              </w:rPr>
              <w:t>（国有资产管理处、财务处）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（18）仪器设备、图书、药品等物资设备采购和重大基建工程的招投标</w:t>
            </w:r>
            <w:r>
              <w:rPr>
                <w:rFonts w:hint="eastAsia"/>
                <w:b/>
                <w:bCs/>
                <w:color w:val="FF0000"/>
                <w:kern w:val="0"/>
                <w:sz w:val="21"/>
                <w:szCs w:val="21"/>
                <w:lang w:val="en-US" w:eastAsia="zh-CN"/>
              </w:rPr>
              <w:t>（国有资产管理处）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（19）收支预算总表、收入预算表、支出预算表、财政拨款支出预算表</w:t>
            </w:r>
            <w:r>
              <w:rPr>
                <w:rFonts w:hint="eastAsia"/>
                <w:b/>
                <w:bCs/>
                <w:color w:val="FF0000"/>
                <w:kern w:val="0"/>
                <w:sz w:val="21"/>
                <w:szCs w:val="21"/>
                <w:lang w:val="en-US" w:eastAsia="zh-CN"/>
              </w:rPr>
              <w:t>（财务处）</w:t>
            </w:r>
          </w:p>
        </w:tc>
        <w:tc>
          <w:tcPr>
            <w:tcW w:w="5722" w:type="dxa"/>
            <w:vMerge w:val="restart"/>
            <w:vAlign w:val="center"/>
          </w:tcPr>
          <w:p>
            <w:pPr>
              <w:widowControl/>
              <w:spacing w:line="240" w:lineRule="auto"/>
              <w:jc w:val="left"/>
              <w:rPr>
                <w:rFonts w:hint="eastAsia"/>
                <w:kern w:val="0"/>
                <w:sz w:val="21"/>
                <w:szCs w:val="21"/>
              </w:rPr>
            </w:pPr>
            <w:r>
              <w:rPr>
                <w:rFonts w:hint="eastAsia"/>
                <w:kern w:val="0"/>
                <w:sz w:val="21"/>
                <w:szCs w:val="21"/>
              </w:rPr>
              <w:t>《国务院办公厅关于印发当前政府信息公开重点工作安排的通知》（国办发〔2013〕73号）</w:t>
            </w:r>
            <w:r>
              <w:rPr>
                <w:rFonts w:hint="eastAsia"/>
                <w:kern w:val="0"/>
                <w:sz w:val="21"/>
                <w:szCs w:val="21"/>
              </w:rPr>
              <w:br w:type="textWrapping"/>
            </w:r>
            <w:r>
              <w:rPr>
                <w:rFonts w:hint="eastAsia"/>
                <w:kern w:val="0"/>
                <w:sz w:val="21"/>
                <w:szCs w:val="21"/>
              </w:rPr>
              <w:t>《高等学校信息公开办法》（教育部令第29号）</w:t>
            </w:r>
            <w:r>
              <w:rPr>
                <w:rFonts w:hint="eastAsia"/>
                <w:kern w:val="0"/>
                <w:sz w:val="21"/>
                <w:szCs w:val="21"/>
              </w:rPr>
              <w:br w:type="textWrapping"/>
            </w:r>
            <w:r>
              <w:rPr>
                <w:rFonts w:hint="eastAsia"/>
                <w:kern w:val="0"/>
                <w:sz w:val="21"/>
                <w:szCs w:val="21"/>
              </w:rPr>
              <w:t>《教育部关于做好高等学校财务信息公开工作的通知》（教财〔2012〕4号）</w:t>
            </w:r>
            <w:r>
              <w:rPr>
                <w:rFonts w:hint="eastAsia"/>
                <w:kern w:val="0"/>
                <w:sz w:val="21"/>
                <w:szCs w:val="21"/>
              </w:rPr>
              <w:br w:type="textWrapping"/>
            </w:r>
            <w:r>
              <w:rPr>
                <w:rFonts w:hint="eastAsia"/>
                <w:kern w:val="0"/>
                <w:sz w:val="21"/>
                <w:szCs w:val="21"/>
              </w:rPr>
              <w:t>《教育部关于进一步做好高等学校财务信息公开工作的通知》（教财函〔2013〕96号）</w:t>
            </w: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（20）收支决算总表、收入决算表、支出决算表、财政拨款支出决算表</w:t>
            </w:r>
            <w:r>
              <w:rPr>
                <w:rFonts w:hint="eastAsia"/>
                <w:b/>
                <w:bCs/>
                <w:color w:val="FF0000"/>
                <w:kern w:val="0"/>
                <w:sz w:val="21"/>
                <w:szCs w:val="21"/>
                <w:lang w:val="en-US" w:eastAsia="zh-CN"/>
              </w:rPr>
              <w:t>（财务处）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（21）收费项目、收费依据、收费标准及投诉方式</w:t>
            </w:r>
            <w:r>
              <w:rPr>
                <w:rFonts w:hint="eastAsia"/>
                <w:b/>
                <w:bCs/>
                <w:color w:val="FF0000"/>
                <w:kern w:val="0"/>
                <w:sz w:val="21"/>
                <w:szCs w:val="21"/>
                <w:lang w:val="en-US" w:eastAsia="zh-CN"/>
              </w:rPr>
              <w:t>（财务处）</w:t>
            </w:r>
          </w:p>
        </w:tc>
        <w:tc>
          <w:tcPr>
            <w:tcW w:w="5722" w:type="dxa"/>
            <w:vAlign w:val="center"/>
          </w:tcPr>
          <w:p>
            <w:pPr>
              <w:widowControl/>
              <w:jc w:val="left"/>
              <w:rPr>
                <w:rFonts w:hint="eastAsia"/>
                <w:kern w:val="0"/>
                <w:sz w:val="21"/>
                <w:szCs w:val="21"/>
              </w:rPr>
            </w:pPr>
            <w:r>
              <w:rPr>
                <w:rFonts w:hint="eastAsia"/>
                <w:kern w:val="0"/>
                <w:sz w:val="21"/>
                <w:szCs w:val="21"/>
              </w:rPr>
              <w:t xml:space="preserve">《高等学校信息公开办法》（教育部令第29号） </w:t>
            </w: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widowControl/>
              <w:jc w:val="center"/>
              <w:rPr>
                <w:rFonts w:hint="eastAsia"/>
                <w:kern w:val="0"/>
                <w:sz w:val="21"/>
                <w:szCs w:val="21"/>
              </w:rPr>
            </w:pPr>
            <w:r>
              <w:rPr>
                <w:rFonts w:hint="eastAsia"/>
                <w:kern w:val="0"/>
                <w:sz w:val="21"/>
                <w:szCs w:val="21"/>
              </w:rPr>
              <w:t>4</w:t>
            </w:r>
          </w:p>
        </w:tc>
        <w:tc>
          <w:tcPr>
            <w:tcW w:w="1441" w:type="dxa"/>
            <w:vMerge w:val="restart"/>
            <w:vAlign w:val="center"/>
          </w:tcPr>
          <w:p>
            <w:pPr>
              <w:widowControl/>
              <w:jc w:val="center"/>
              <w:rPr>
                <w:rFonts w:hint="eastAsia"/>
                <w:kern w:val="0"/>
                <w:sz w:val="21"/>
                <w:szCs w:val="21"/>
              </w:rPr>
            </w:pPr>
            <w:r>
              <w:rPr>
                <w:rFonts w:hint="eastAsia"/>
                <w:kern w:val="0"/>
                <w:sz w:val="21"/>
                <w:szCs w:val="21"/>
              </w:rPr>
              <w:t>人事师资</w:t>
            </w:r>
          </w:p>
          <w:p>
            <w:pPr>
              <w:widowControl/>
              <w:jc w:val="center"/>
              <w:rPr>
                <w:rFonts w:hint="eastAsia"/>
                <w:kern w:val="0"/>
                <w:sz w:val="21"/>
                <w:szCs w:val="21"/>
              </w:rPr>
            </w:pPr>
            <w:r>
              <w:rPr>
                <w:rFonts w:hint="eastAsia"/>
                <w:kern w:val="0"/>
                <w:sz w:val="21"/>
                <w:szCs w:val="21"/>
              </w:rPr>
              <w:t>信息</w:t>
            </w:r>
            <w:r>
              <w:rPr>
                <w:rFonts w:hint="eastAsia"/>
                <w:kern w:val="0"/>
                <w:sz w:val="21"/>
                <w:szCs w:val="21"/>
              </w:rPr>
              <w:br w:type="textWrapping"/>
            </w:r>
            <w:r>
              <w:rPr>
                <w:rFonts w:hint="eastAsia"/>
                <w:kern w:val="0"/>
                <w:sz w:val="21"/>
                <w:szCs w:val="21"/>
              </w:rPr>
              <w:br w:type="textWrapping"/>
            </w:r>
            <w:r>
              <w:rPr>
                <w:rFonts w:hint="eastAsia"/>
                <w:kern w:val="0"/>
                <w:sz w:val="21"/>
                <w:szCs w:val="21"/>
              </w:rPr>
              <w:t>（5项）</w:t>
            </w:r>
          </w:p>
        </w:tc>
        <w:tc>
          <w:tcPr>
            <w:tcW w:w="5844" w:type="dxa"/>
            <w:vAlign w:val="center"/>
          </w:tcPr>
          <w:p>
            <w:pPr>
              <w:widowControl/>
              <w:jc w:val="left"/>
              <w:rPr>
                <w:rFonts w:hint="eastAsia"/>
                <w:kern w:val="0"/>
                <w:sz w:val="21"/>
                <w:szCs w:val="21"/>
              </w:rPr>
            </w:pPr>
            <w:r>
              <w:rPr>
                <w:rFonts w:hint="eastAsia"/>
                <w:kern w:val="0"/>
                <w:sz w:val="21"/>
                <w:szCs w:val="21"/>
              </w:rPr>
              <w:t>（22）校级领导干部社会兼职情况</w:t>
            </w:r>
            <w:r>
              <w:rPr>
                <w:rFonts w:hint="eastAsia"/>
                <w:b/>
                <w:bCs/>
                <w:color w:val="FF0000"/>
                <w:kern w:val="0"/>
                <w:sz w:val="21"/>
                <w:szCs w:val="21"/>
                <w:lang w:val="en-US" w:eastAsia="zh-CN"/>
              </w:rPr>
              <w:t>（组织部）</w:t>
            </w:r>
          </w:p>
        </w:tc>
        <w:tc>
          <w:tcPr>
            <w:tcW w:w="5722" w:type="dxa"/>
            <w:vMerge w:val="restart"/>
            <w:vAlign w:val="center"/>
          </w:tcPr>
          <w:p>
            <w:pPr>
              <w:widowControl/>
              <w:jc w:val="left"/>
              <w:rPr>
                <w:rFonts w:hint="eastAsia"/>
                <w:kern w:val="0"/>
                <w:sz w:val="21"/>
                <w:szCs w:val="21"/>
              </w:rPr>
            </w:pPr>
            <w:r>
              <w:rPr>
                <w:rFonts w:hint="eastAsia"/>
                <w:kern w:val="0"/>
                <w:sz w:val="21"/>
                <w:szCs w:val="21"/>
              </w:rPr>
              <w:t>《中共教育部党组关于进一步加强直属高校学校领导班子建设的若干意见》（教党〔2013〕39号）</w:t>
            </w:r>
            <w:r>
              <w:rPr>
                <w:rFonts w:hint="eastAsia"/>
                <w:kern w:val="0"/>
                <w:sz w:val="21"/>
                <w:szCs w:val="21"/>
              </w:rPr>
              <w:br w:type="textWrapping"/>
            </w:r>
            <w:r>
              <w:rPr>
                <w:rFonts w:hint="eastAsia"/>
                <w:kern w:val="0"/>
                <w:sz w:val="21"/>
                <w:szCs w:val="21"/>
              </w:rPr>
              <w:t>《中共教育部党组关于进一步加强直属高校党员领导干部兼职管理的通知》（教党〔2011〕22号）</w:t>
            </w:r>
          </w:p>
        </w:tc>
        <w:tc>
          <w:tcPr>
            <w:tcW w:w="907" w:type="dxa"/>
            <w:vMerge w:val="restart"/>
            <w:vAlign w:val="center"/>
          </w:tcPr>
          <w:p>
            <w:pPr>
              <w:widowControl/>
              <w:jc w:val="center"/>
              <w:rPr>
                <w:rFonts w:hint="eastAsia"/>
                <w:kern w:val="0"/>
                <w:sz w:val="21"/>
                <w:szCs w:val="21"/>
              </w:rPr>
            </w:pPr>
            <w:r>
              <w:rPr>
                <w:rFonts w:hint="eastAsia"/>
                <w:kern w:val="0"/>
                <w:sz w:val="21"/>
                <w:szCs w:val="21"/>
              </w:rPr>
              <w:t>人事司</w:t>
            </w:r>
            <w:r>
              <w:rPr>
                <w:rFonts w:hint="eastAsia"/>
                <w:kern w:val="0"/>
                <w:sz w:val="21"/>
                <w:szCs w:val="21"/>
              </w:rPr>
              <w:br w:type="textWrapping"/>
            </w:r>
            <w:r>
              <w:rPr>
                <w:rFonts w:hint="eastAsia"/>
                <w:kern w:val="0"/>
                <w:sz w:val="21"/>
                <w:szCs w:val="21"/>
              </w:rPr>
              <w:t>教师司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（23）校级领导干部因公出国（境）情况</w:t>
            </w:r>
            <w:r>
              <w:rPr>
                <w:rFonts w:hint="eastAsia"/>
                <w:b/>
                <w:bCs/>
                <w:color w:val="FF0000"/>
                <w:kern w:val="0"/>
                <w:sz w:val="21"/>
                <w:szCs w:val="21"/>
                <w:lang w:val="en-US" w:eastAsia="zh-CN"/>
              </w:rPr>
              <w:t>（国际合作与交流处）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（24）岗位设置管理与聘用办法</w:t>
            </w:r>
            <w:r>
              <w:rPr>
                <w:rFonts w:hint="eastAsia"/>
                <w:b/>
                <w:bCs/>
                <w:color w:val="FF0000"/>
                <w:kern w:val="0"/>
                <w:sz w:val="21"/>
                <w:szCs w:val="21"/>
                <w:lang w:val="en-US" w:eastAsia="zh-CN"/>
              </w:rPr>
              <w:t>（人事处）</w:t>
            </w:r>
          </w:p>
        </w:tc>
        <w:tc>
          <w:tcPr>
            <w:tcW w:w="5722" w:type="dxa"/>
            <w:vMerge w:val="restart"/>
            <w:vAlign w:val="center"/>
          </w:tcPr>
          <w:p>
            <w:pPr>
              <w:widowControl/>
              <w:jc w:val="left"/>
              <w:rPr>
                <w:rFonts w:hint="eastAsia"/>
                <w:kern w:val="0"/>
                <w:sz w:val="21"/>
                <w:szCs w:val="21"/>
              </w:rPr>
            </w:pPr>
            <w:r>
              <w:rPr>
                <w:rFonts w:hint="eastAsia"/>
                <w:kern w:val="0"/>
                <w:sz w:val="21"/>
                <w:szCs w:val="21"/>
              </w:rPr>
              <w:t xml:space="preserve">《高等学校信息公开办法》（教育部令第29号） </w:t>
            </w:r>
            <w:r>
              <w:rPr>
                <w:rFonts w:hint="eastAsia"/>
                <w:kern w:val="0"/>
                <w:sz w:val="21"/>
                <w:szCs w:val="21"/>
              </w:rPr>
              <w:br w:type="textWrapping"/>
            </w:r>
            <w:r>
              <w:rPr>
                <w:rFonts w:hint="eastAsia"/>
                <w:kern w:val="0"/>
                <w:sz w:val="21"/>
                <w:szCs w:val="21"/>
              </w:rPr>
              <w:t>《党政领导干部选拔任用工作条例》</w:t>
            </w:r>
            <w:r>
              <w:rPr>
                <w:rFonts w:hint="eastAsia"/>
                <w:kern w:val="0"/>
                <w:sz w:val="21"/>
                <w:szCs w:val="21"/>
              </w:rPr>
              <w:br w:type="textWrapping"/>
            </w:r>
            <w:r>
              <w:rPr>
                <w:rFonts w:hint="eastAsia"/>
                <w:kern w:val="0"/>
                <w:sz w:val="21"/>
                <w:szCs w:val="21"/>
              </w:rPr>
              <w:t>《事业单位公开招聘人员暂行规定》（人事部令第6号）</w:t>
            </w: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（25）校内中层干部任免</w:t>
            </w:r>
            <w:r>
              <w:rPr>
                <w:rFonts w:hint="eastAsia"/>
                <w:b/>
                <w:bCs/>
                <w:color w:val="FF0000"/>
                <w:kern w:val="0"/>
                <w:sz w:val="21"/>
                <w:szCs w:val="21"/>
                <w:lang w:val="en-US" w:eastAsia="zh-CN"/>
              </w:rPr>
              <w:t>（组织部）</w:t>
            </w:r>
            <w:r>
              <w:rPr>
                <w:rFonts w:hint="eastAsia"/>
                <w:kern w:val="0"/>
                <w:sz w:val="21"/>
                <w:szCs w:val="21"/>
              </w:rPr>
              <w:t>、人员招聘信息</w:t>
            </w:r>
            <w:r>
              <w:rPr>
                <w:rFonts w:hint="eastAsia"/>
                <w:b/>
                <w:bCs/>
                <w:color w:val="FF0000"/>
                <w:kern w:val="0"/>
                <w:sz w:val="21"/>
                <w:szCs w:val="21"/>
                <w:lang w:val="en-US" w:eastAsia="zh-CN"/>
              </w:rPr>
              <w:t>（人事处）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eastAsia="仿宋_GB2312"/>
                <w:kern w:val="0"/>
                <w:sz w:val="21"/>
                <w:szCs w:val="21"/>
                <w:lang w:eastAsia="zh-CN"/>
              </w:rPr>
            </w:pPr>
            <w:r>
              <w:rPr>
                <w:rFonts w:hint="eastAsia"/>
                <w:kern w:val="0"/>
                <w:sz w:val="21"/>
                <w:szCs w:val="21"/>
              </w:rPr>
              <w:t>（26）教职工争议解决办法</w:t>
            </w:r>
            <w:r>
              <w:rPr>
                <w:rFonts w:hint="eastAsia"/>
                <w:b/>
                <w:bCs/>
                <w:color w:val="FF0000"/>
                <w:kern w:val="0"/>
                <w:sz w:val="21"/>
                <w:szCs w:val="21"/>
                <w:lang w:val="en-US" w:eastAsia="zh-CN"/>
              </w:rPr>
              <w:t>（工会、党办校办</w:t>
            </w:r>
            <w:bookmarkStart w:id="0" w:name="_GoBack"/>
            <w:bookmarkEnd w:id="0"/>
            <w:r>
              <w:rPr>
                <w:rFonts w:hint="eastAsia"/>
                <w:b/>
                <w:bCs/>
                <w:color w:val="FF0000"/>
                <w:kern w:val="0"/>
                <w:sz w:val="21"/>
                <w:szCs w:val="21"/>
                <w:lang w:val="en-US" w:eastAsia="zh-CN"/>
              </w:rPr>
              <w:t>）</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09" w:type="dxa"/>
            <w:vMerge w:val="restart"/>
            <w:vAlign w:val="center"/>
          </w:tcPr>
          <w:p>
            <w:pPr>
              <w:widowControl/>
              <w:jc w:val="center"/>
              <w:rPr>
                <w:rFonts w:hint="eastAsia"/>
                <w:kern w:val="0"/>
                <w:sz w:val="21"/>
                <w:szCs w:val="21"/>
              </w:rPr>
            </w:pPr>
            <w:r>
              <w:rPr>
                <w:rFonts w:hint="eastAsia"/>
                <w:kern w:val="0"/>
                <w:sz w:val="21"/>
                <w:szCs w:val="21"/>
              </w:rPr>
              <w:t>5</w:t>
            </w:r>
          </w:p>
        </w:tc>
        <w:tc>
          <w:tcPr>
            <w:tcW w:w="1441" w:type="dxa"/>
            <w:vMerge w:val="restart"/>
            <w:vAlign w:val="center"/>
          </w:tcPr>
          <w:p>
            <w:pPr>
              <w:widowControl/>
              <w:jc w:val="center"/>
              <w:rPr>
                <w:rFonts w:hint="eastAsia"/>
                <w:kern w:val="0"/>
                <w:sz w:val="21"/>
                <w:szCs w:val="21"/>
              </w:rPr>
            </w:pPr>
            <w:r>
              <w:rPr>
                <w:rFonts w:hint="eastAsia"/>
                <w:kern w:val="0"/>
                <w:sz w:val="21"/>
                <w:szCs w:val="21"/>
              </w:rPr>
              <w:t>教学质量</w:t>
            </w:r>
          </w:p>
          <w:p>
            <w:pPr>
              <w:widowControl/>
              <w:jc w:val="center"/>
              <w:rPr>
                <w:rFonts w:hint="eastAsia"/>
                <w:kern w:val="0"/>
                <w:sz w:val="21"/>
                <w:szCs w:val="21"/>
              </w:rPr>
            </w:pPr>
            <w:r>
              <w:rPr>
                <w:rFonts w:hint="eastAsia"/>
                <w:kern w:val="0"/>
                <w:sz w:val="21"/>
                <w:szCs w:val="21"/>
              </w:rPr>
              <w:t>信息</w:t>
            </w:r>
            <w:r>
              <w:rPr>
                <w:rFonts w:hint="eastAsia"/>
                <w:kern w:val="0"/>
                <w:sz w:val="21"/>
                <w:szCs w:val="21"/>
              </w:rPr>
              <w:br w:type="textWrapping"/>
            </w:r>
            <w:r>
              <w:rPr>
                <w:rFonts w:hint="eastAsia"/>
                <w:kern w:val="0"/>
                <w:sz w:val="21"/>
                <w:szCs w:val="21"/>
              </w:rPr>
              <w:t>（9项）</w:t>
            </w:r>
          </w:p>
          <w:p>
            <w:pPr>
              <w:widowControl/>
              <w:jc w:val="center"/>
              <w:rPr>
                <w:rFonts w:hint="eastAsia"/>
                <w:kern w:val="0"/>
                <w:sz w:val="21"/>
                <w:szCs w:val="21"/>
              </w:rPr>
            </w:pPr>
          </w:p>
          <w:p>
            <w:pPr>
              <w:widowControl/>
              <w:jc w:val="center"/>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（27）本科生占全日制在校生总数的比例</w:t>
            </w:r>
            <w:r>
              <w:rPr>
                <w:rFonts w:hint="eastAsia"/>
                <w:b/>
                <w:bCs/>
                <w:color w:val="FF0000"/>
                <w:kern w:val="0"/>
                <w:sz w:val="21"/>
                <w:szCs w:val="21"/>
                <w:lang w:val="en-US" w:eastAsia="zh-CN"/>
              </w:rPr>
              <w:t>（教务处）</w:t>
            </w:r>
            <w:r>
              <w:rPr>
                <w:rFonts w:hint="eastAsia"/>
                <w:kern w:val="0"/>
                <w:sz w:val="21"/>
                <w:szCs w:val="21"/>
              </w:rPr>
              <w:t>、教师数量及结构</w:t>
            </w:r>
            <w:r>
              <w:rPr>
                <w:rFonts w:hint="eastAsia"/>
                <w:b/>
                <w:bCs/>
                <w:color w:val="FF0000"/>
                <w:kern w:val="0"/>
                <w:sz w:val="21"/>
                <w:szCs w:val="21"/>
                <w:lang w:val="en-US" w:eastAsia="zh-CN"/>
              </w:rPr>
              <w:t>（人事处）</w:t>
            </w:r>
          </w:p>
        </w:tc>
        <w:tc>
          <w:tcPr>
            <w:tcW w:w="5722" w:type="dxa"/>
            <w:vMerge w:val="restart"/>
            <w:vAlign w:val="center"/>
          </w:tcPr>
          <w:p>
            <w:pPr>
              <w:widowControl/>
              <w:jc w:val="left"/>
              <w:rPr>
                <w:rFonts w:hint="eastAsia" w:eastAsia="仿宋_GB2312"/>
                <w:kern w:val="0"/>
                <w:sz w:val="21"/>
                <w:szCs w:val="21"/>
                <w:lang w:eastAsia="zh-CN"/>
              </w:rPr>
            </w:pPr>
            <w:r>
              <w:rPr>
                <w:rFonts w:hint="eastAsia"/>
                <w:kern w:val="0"/>
                <w:sz w:val="21"/>
                <w:szCs w:val="21"/>
              </w:rPr>
              <w:t>《国家中长期教育改革和发展规划纲要（2010-2020年）》</w:t>
            </w:r>
            <w:r>
              <w:rPr>
                <w:rFonts w:hint="eastAsia"/>
                <w:kern w:val="0"/>
                <w:sz w:val="21"/>
                <w:szCs w:val="21"/>
              </w:rPr>
              <w:br w:type="textWrapping"/>
            </w:r>
            <w:r>
              <w:rPr>
                <w:rFonts w:hint="eastAsia"/>
                <w:kern w:val="0"/>
                <w:sz w:val="21"/>
                <w:szCs w:val="21"/>
              </w:rPr>
              <w:t>《教育部办公厅关于普通高等学校编制发布2012年&lt;本科教学质量报告&gt;的通知》</w:t>
            </w:r>
            <w:r>
              <w:rPr>
                <w:rFonts w:hint="eastAsia"/>
                <w:kern w:val="0"/>
                <w:sz w:val="21"/>
                <w:szCs w:val="21"/>
                <w:lang w:eastAsia="zh-CN"/>
              </w:rPr>
              <w:t>（</w:t>
            </w:r>
            <w:r>
              <w:rPr>
                <w:rFonts w:hint="eastAsia"/>
                <w:kern w:val="0"/>
                <w:sz w:val="21"/>
                <w:szCs w:val="21"/>
              </w:rPr>
              <w:t>教高厅函〔2013〕33号</w:t>
            </w:r>
            <w:r>
              <w:rPr>
                <w:rFonts w:hint="eastAsia"/>
                <w:kern w:val="0"/>
                <w:sz w:val="21"/>
                <w:szCs w:val="21"/>
                <w:lang w:eastAsia="zh-CN"/>
              </w:rPr>
              <w:t>）</w:t>
            </w:r>
          </w:p>
        </w:tc>
        <w:tc>
          <w:tcPr>
            <w:tcW w:w="907" w:type="dxa"/>
            <w:vMerge w:val="restart"/>
            <w:vAlign w:val="center"/>
          </w:tcPr>
          <w:p>
            <w:pPr>
              <w:widowControl/>
              <w:jc w:val="center"/>
              <w:rPr>
                <w:rFonts w:hint="eastAsia"/>
                <w:kern w:val="0"/>
                <w:sz w:val="21"/>
                <w:szCs w:val="21"/>
              </w:rPr>
            </w:pPr>
            <w:r>
              <w:rPr>
                <w:rFonts w:hint="eastAsia"/>
                <w:kern w:val="0"/>
                <w:sz w:val="21"/>
                <w:szCs w:val="21"/>
              </w:rPr>
              <w:t>高教司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（28）专业设置、当年新增专业、停招专业名单</w:t>
            </w:r>
            <w:r>
              <w:rPr>
                <w:rFonts w:hint="eastAsia"/>
                <w:b/>
                <w:bCs/>
                <w:color w:val="FF0000"/>
                <w:kern w:val="0"/>
                <w:sz w:val="21"/>
                <w:szCs w:val="21"/>
                <w:lang w:val="en-US" w:eastAsia="zh-CN"/>
              </w:rPr>
              <w:t>（教务处）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（29）全校开设课程总门数、实践教学学分占总学分比例、选修课学分占总学分比例</w:t>
            </w:r>
            <w:r>
              <w:rPr>
                <w:rFonts w:hint="eastAsia"/>
                <w:b/>
                <w:bCs/>
                <w:color w:val="FF0000"/>
                <w:kern w:val="0"/>
                <w:sz w:val="21"/>
                <w:szCs w:val="21"/>
                <w:lang w:val="en-US" w:eastAsia="zh-CN"/>
              </w:rPr>
              <w:t>（教务处）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（30）主讲本科课程的教授占教授总数的比例、教授授本科课程占课程总门次数的比例</w:t>
            </w:r>
            <w:r>
              <w:rPr>
                <w:rFonts w:hint="eastAsia"/>
                <w:b/>
                <w:bCs/>
                <w:color w:val="FF0000"/>
                <w:kern w:val="0"/>
                <w:sz w:val="21"/>
                <w:szCs w:val="21"/>
                <w:lang w:val="en-US" w:eastAsia="zh-CN"/>
              </w:rPr>
              <w:t>（教务处）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（31）促进毕业生就业的政策措施和指导服务</w:t>
            </w:r>
            <w:r>
              <w:rPr>
                <w:rFonts w:hint="eastAsia"/>
                <w:b/>
                <w:bCs/>
                <w:color w:val="FF0000"/>
                <w:kern w:val="0"/>
                <w:sz w:val="21"/>
                <w:szCs w:val="21"/>
                <w:lang w:val="en-US" w:eastAsia="zh-CN"/>
              </w:rPr>
              <w:t>（学生工作部、研究生院）</w:t>
            </w:r>
          </w:p>
        </w:tc>
        <w:tc>
          <w:tcPr>
            <w:tcW w:w="5722" w:type="dxa"/>
            <w:vMerge w:val="restart"/>
            <w:vAlign w:val="center"/>
          </w:tcPr>
          <w:p>
            <w:pPr>
              <w:widowControl/>
              <w:jc w:val="left"/>
              <w:rPr>
                <w:rFonts w:hint="eastAsia" w:eastAsia="仿宋_GB2312"/>
                <w:kern w:val="0"/>
                <w:sz w:val="21"/>
                <w:szCs w:val="21"/>
                <w:lang w:eastAsia="zh-CN"/>
              </w:rPr>
            </w:pPr>
            <w:r>
              <w:rPr>
                <w:rFonts w:hint="eastAsia"/>
                <w:kern w:val="0"/>
                <w:sz w:val="21"/>
                <w:szCs w:val="21"/>
              </w:rPr>
              <w:t>《高等学校信息公开办法》（教育部令第29号）</w:t>
            </w:r>
            <w:r>
              <w:rPr>
                <w:rFonts w:hint="eastAsia"/>
                <w:kern w:val="0"/>
                <w:sz w:val="21"/>
                <w:szCs w:val="21"/>
              </w:rPr>
              <w:br w:type="textWrapping"/>
            </w:r>
            <w:r>
              <w:rPr>
                <w:rFonts w:hint="eastAsia"/>
                <w:kern w:val="0"/>
                <w:sz w:val="21"/>
                <w:szCs w:val="21"/>
              </w:rPr>
              <w:t>《教育部办公厅关于编制发布高校毕业生就业质量年度报告的通知》</w:t>
            </w:r>
            <w:r>
              <w:rPr>
                <w:rFonts w:hint="eastAsia"/>
                <w:kern w:val="0"/>
                <w:sz w:val="21"/>
                <w:szCs w:val="21"/>
                <w:lang w:eastAsia="zh-CN"/>
              </w:rPr>
              <w:t>（</w:t>
            </w:r>
            <w:r>
              <w:rPr>
                <w:rFonts w:hint="eastAsia"/>
                <w:kern w:val="0"/>
                <w:sz w:val="21"/>
                <w:szCs w:val="21"/>
              </w:rPr>
              <w:t>教学厅函〔2013〕25号</w:t>
            </w:r>
            <w:r>
              <w:rPr>
                <w:rFonts w:hint="eastAsia"/>
                <w:kern w:val="0"/>
                <w:sz w:val="21"/>
                <w:szCs w:val="21"/>
                <w:lang w:eastAsia="zh-CN"/>
              </w:rPr>
              <w:t>）</w:t>
            </w:r>
          </w:p>
        </w:tc>
        <w:tc>
          <w:tcPr>
            <w:tcW w:w="907" w:type="dxa"/>
            <w:vMerge w:val="restart"/>
            <w:vAlign w:val="center"/>
          </w:tcPr>
          <w:p>
            <w:pPr>
              <w:widowControl/>
              <w:jc w:val="center"/>
              <w:rPr>
                <w:rFonts w:hint="eastAsia"/>
                <w:kern w:val="0"/>
                <w:sz w:val="21"/>
                <w:szCs w:val="21"/>
              </w:rPr>
            </w:pPr>
            <w:r>
              <w:rPr>
                <w:rFonts w:hint="eastAsia"/>
                <w:kern w:val="0"/>
                <w:sz w:val="21"/>
                <w:szCs w:val="21"/>
              </w:rPr>
              <w:t>学生司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（32）毕业生的规模、结构、就业率、就业流向</w:t>
            </w:r>
            <w:r>
              <w:rPr>
                <w:rFonts w:hint="eastAsia"/>
                <w:b/>
                <w:bCs/>
                <w:color w:val="FF0000"/>
                <w:kern w:val="0"/>
                <w:sz w:val="21"/>
                <w:szCs w:val="21"/>
                <w:lang w:val="en-US" w:eastAsia="zh-CN"/>
              </w:rPr>
              <w:t>（学生工作部、研究生院）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（33）高校毕业生就业质量年度报告</w:t>
            </w:r>
            <w:r>
              <w:rPr>
                <w:rFonts w:hint="eastAsia"/>
                <w:b/>
                <w:bCs/>
                <w:color w:val="FF0000"/>
                <w:kern w:val="0"/>
                <w:sz w:val="21"/>
                <w:szCs w:val="21"/>
                <w:lang w:val="en-US" w:eastAsia="zh-CN"/>
              </w:rPr>
              <w:t>（学生工作部、研究生院）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eastAsia="仿宋_GB2312"/>
                <w:kern w:val="0"/>
                <w:sz w:val="21"/>
                <w:szCs w:val="21"/>
                <w:lang w:eastAsia="zh-CN"/>
              </w:rPr>
            </w:pPr>
            <w:r>
              <w:rPr>
                <w:rFonts w:hint="eastAsia"/>
                <w:kern w:val="0"/>
                <w:sz w:val="21"/>
                <w:szCs w:val="21"/>
              </w:rPr>
              <w:t>（34）艺术教育发展年度报告</w:t>
            </w:r>
            <w:r>
              <w:rPr>
                <w:rFonts w:hint="eastAsia"/>
                <w:b/>
                <w:bCs/>
                <w:color w:val="FF0000"/>
                <w:kern w:val="0"/>
                <w:sz w:val="21"/>
                <w:szCs w:val="21"/>
                <w:lang w:val="en-US" w:eastAsia="zh-CN"/>
              </w:rPr>
              <w:t>（团委）</w:t>
            </w:r>
          </w:p>
        </w:tc>
        <w:tc>
          <w:tcPr>
            <w:tcW w:w="5722" w:type="dxa"/>
            <w:vAlign w:val="center"/>
          </w:tcPr>
          <w:p>
            <w:pPr>
              <w:widowControl/>
              <w:jc w:val="left"/>
              <w:rPr>
                <w:rFonts w:hint="eastAsia"/>
                <w:kern w:val="0"/>
                <w:sz w:val="21"/>
                <w:szCs w:val="21"/>
              </w:rPr>
            </w:pPr>
            <w:r>
              <w:rPr>
                <w:rFonts w:hint="eastAsia"/>
                <w:kern w:val="0"/>
                <w:sz w:val="21"/>
                <w:szCs w:val="21"/>
              </w:rPr>
              <w:t>《学校艺术教育工作规程》（教育部令13号）</w:t>
            </w:r>
            <w:r>
              <w:rPr>
                <w:rFonts w:hint="eastAsia"/>
                <w:kern w:val="0"/>
                <w:sz w:val="21"/>
                <w:szCs w:val="21"/>
              </w:rPr>
              <w:br w:type="textWrapping"/>
            </w:r>
            <w:r>
              <w:rPr>
                <w:rFonts w:hint="eastAsia"/>
                <w:kern w:val="0"/>
                <w:sz w:val="21"/>
                <w:szCs w:val="21"/>
              </w:rPr>
              <w:t>《教育部关于推进学校艺术教育发展的若干意见》（教体艺〔2014〕1号）</w:t>
            </w:r>
          </w:p>
        </w:tc>
        <w:tc>
          <w:tcPr>
            <w:tcW w:w="907" w:type="dxa"/>
            <w:vAlign w:val="center"/>
          </w:tcPr>
          <w:p>
            <w:pPr>
              <w:widowControl/>
              <w:jc w:val="center"/>
              <w:rPr>
                <w:rFonts w:hint="eastAsia"/>
                <w:kern w:val="0"/>
                <w:sz w:val="21"/>
                <w:szCs w:val="21"/>
              </w:rPr>
            </w:pPr>
            <w:r>
              <w:rPr>
                <w:rFonts w:hint="eastAsia"/>
                <w:kern w:val="0"/>
                <w:sz w:val="21"/>
                <w:szCs w:val="21"/>
              </w:rPr>
              <w:t>体卫艺司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（35）本科教学质量报告</w:t>
            </w:r>
            <w:r>
              <w:rPr>
                <w:rFonts w:hint="eastAsia"/>
                <w:b/>
                <w:bCs/>
                <w:color w:val="FF0000"/>
                <w:kern w:val="0"/>
                <w:sz w:val="21"/>
                <w:szCs w:val="21"/>
                <w:lang w:val="en-US" w:eastAsia="zh-CN"/>
              </w:rPr>
              <w:t>（教务处）</w:t>
            </w:r>
          </w:p>
        </w:tc>
        <w:tc>
          <w:tcPr>
            <w:tcW w:w="5722" w:type="dxa"/>
            <w:vAlign w:val="center"/>
          </w:tcPr>
          <w:p>
            <w:pPr>
              <w:widowControl/>
              <w:jc w:val="left"/>
              <w:rPr>
                <w:rFonts w:hint="eastAsia" w:eastAsia="仿宋_GB2312"/>
                <w:kern w:val="0"/>
                <w:sz w:val="21"/>
                <w:szCs w:val="21"/>
                <w:lang w:eastAsia="zh-CN"/>
              </w:rPr>
            </w:pPr>
            <w:r>
              <w:rPr>
                <w:rFonts w:hint="eastAsia"/>
                <w:kern w:val="0"/>
                <w:sz w:val="21"/>
                <w:szCs w:val="21"/>
              </w:rPr>
              <w:t>《教育部办公厅关于普通高等学校编制发布2012年&lt;本科教学质量报告&gt;的通知》</w:t>
            </w:r>
            <w:r>
              <w:rPr>
                <w:rFonts w:hint="eastAsia"/>
                <w:kern w:val="0"/>
                <w:sz w:val="21"/>
                <w:szCs w:val="21"/>
                <w:lang w:eastAsia="zh-CN"/>
              </w:rPr>
              <w:t>（</w:t>
            </w:r>
            <w:r>
              <w:rPr>
                <w:rFonts w:hint="eastAsia"/>
                <w:kern w:val="0"/>
                <w:sz w:val="21"/>
                <w:szCs w:val="21"/>
              </w:rPr>
              <w:t>教高厅函〔2013〕33号</w:t>
            </w:r>
            <w:r>
              <w:rPr>
                <w:rFonts w:hint="eastAsia"/>
                <w:kern w:val="0"/>
                <w:sz w:val="21"/>
                <w:szCs w:val="21"/>
                <w:lang w:eastAsia="zh-CN"/>
              </w:rPr>
              <w:t>）</w:t>
            </w:r>
          </w:p>
        </w:tc>
        <w:tc>
          <w:tcPr>
            <w:tcW w:w="907" w:type="dxa"/>
            <w:vAlign w:val="center"/>
          </w:tcPr>
          <w:p>
            <w:pPr>
              <w:widowControl/>
              <w:jc w:val="center"/>
              <w:rPr>
                <w:rFonts w:hint="eastAsia"/>
                <w:kern w:val="0"/>
                <w:sz w:val="21"/>
                <w:szCs w:val="21"/>
              </w:rPr>
            </w:pPr>
            <w:r>
              <w:rPr>
                <w:rFonts w:hint="eastAsia"/>
                <w:kern w:val="0"/>
                <w:sz w:val="21"/>
                <w:szCs w:val="21"/>
              </w:rPr>
              <w:t>高教司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widowControl/>
              <w:jc w:val="center"/>
              <w:rPr>
                <w:rFonts w:hint="eastAsia"/>
                <w:kern w:val="0"/>
                <w:sz w:val="21"/>
                <w:szCs w:val="21"/>
              </w:rPr>
            </w:pPr>
            <w:r>
              <w:rPr>
                <w:rFonts w:hint="eastAsia"/>
                <w:kern w:val="0"/>
                <w:sz w:val="21"/>
                <w:szCs w:val="21"/>
              </w:rPr>
              <w:t>6</w:t>
            </w:r>
          </w:p>
        </w:tc>
        <w:tc>
          <w:tcPr>
            <w:tcW w:w="1441" w:type="dxa"/>
            <w:vMerge w:val="restart"/>
            <w:vAlign w:val="center"/>
          </w:tcPr>
          <w:p>
            <w:pPr>
              <w:widowControl/>
              <w:jc w:val="center"/>
              <w:rPr>
                <w:rFonts w:hint="eastAsia"/>
                <w:kern w:val="0"/>
                <w:sz w:val="21"/>
                <w:szCs w:val="21"/>
              </w:rPr>
            </w:pPr>
            <w:r>
              <w:rPr>
                <w:rFonts w:hint="eastAsia"/>
                <w:kern w:val="0"/>
                <w:sz w:val="21"/>
                <w:szCs w:val="21"/>
              </w:rPr>
              <w:t>学生管理</w:t>
            </w:r>
          </w:p>
          <w:p>
            <w:pPr>
              <w:widowControl/>
              <w:jc w:val="center"/>
              <w:rPr>
                <w:rFonts w:hint="eastAsia"/>
                <w:kern w:val="0"/>
                <w:sz w:val="21"/>
                <w:szCs w:val="21"/>
              </w:rPr>
            </w:pPr>
            <w:r>
              <w:rPr>
                <w:rFonts w:hint="eastAsia"/>
                <w:kern w:val="0"/>
                <w:sz w:val="21"/>
                <w:szCs w:val="21"/>
              </w:rPr>
              <w:t>服务信息</w:t>
            </w:r>
            <w:r>
              <w:rPr>
                <w:rFonts w:hint="eastAsia"/>
                <w:kern w:val="0"/>
                <w:sz w:val="21"/>
                <w:szCs w:val="21"/>
              </w:rPr>
              <w:br w:type="textWrapping"/>
            </w:r>
            <w:r>
              <w:rPr>
                <w:rFonts w:hint="eastAsia"/>
                <w:kern w:val="0"/>
                <w:sz w:val="21"/>
                <w:szCs w:val="21"/>
              </w:rPr>
              <w:t>（4项）</w:t>
            </w:r>
          </w:p>
        </w:tc>
        <w:tc>
          <w:tcPr>
            <w:tcW w:w="5844" w:type="dxa"/>
            <w:vAlign w:val="center"/>
          </w:tcPr>
          <w:p>
            <w:pPr>
              <w:widowControl/>
              <w:jc w:val="left"/>
              <w:rPr>
                <w:rFonts w:hint="eastAsia"/>
                <w:kern w:val="0"/>
                <w:sz w:val="21"/>
                <w:szCs w:val="21"/>
              </w:rPr>
            </w:pPr>
            <w:r>
              <w:rPr>
                <w:rFonts w:hint="eastAsia"/>
                <w:kern w:val="0"/>
                <w:sz w:val="21"/>
                <w:szCs w:val="21"/>
              </w:rPr>
              <w:t>（36）学籍管理办法</w:t>
            </w:r>
            <w:r>
              <w:rPr>
                <w:rFonts w:hint="eastAsia"/>
                <w:b/>
                <w:bCs/>
                <w:color w:val="FF0000"/>
                <w:kern w:val="0"/>
                <w:sz w:val="21"/>
                <w:szCs w:val="21"/>
                <w:lang w:val="en-US" w:eastAsia="zh-CN"/>
              </w:rPr>
              <w:t>（教务处、研究生院）</w:t>
            </w:r>
          </w:p>
        </w:tc>
        <w:tc>
          <w:tcPr>
            <w:tcW w:w="5722" w:type="dxa"/>
            <w:vMerge w:val="restart"/>
            <w:vAlign w:val="center"/>
          </w:tcPr>
          <w:p>
            <w:pPr>
              <w:widowControl/>
              <w:jc w:val="left"/>
              <w:rPr>
                <w:rFonts w:hint="eastAsia"/>
                <w:kern w:val="0"/>
                <w:sz w:val="21"/>
                <w:szCs w:val="21"/>
              </w:rPr>
            </w:pPr>
            <w:r>
              <w:rPr>
                <w:rFonts w:hint="eastAsia"/>
                <w:kern w:val="0"/>
                <w:sz w:val="21"/>
                <w:szCs w:val="21"/>
              </w:rPr>
              <w:t>《高等学校信息公开办法》（教育部令第29号）</w:t>
            </w:r>
          </w:p>
        </w:tc>
        <w:tc>
          <w:tcPr>
            <w:tcW w:w="907" w:type="dxa"/>
            <w:vMerge w:val="restart"/>
            <w:vAlign w:val="center"/>
          </w:tcPr>
          <w:p>
            <w:pPr>
              <w:widowControl/>
              <w:jc w:val="center"/>
              <w:rPr>
                <w:rFonts w:hint="eastAsia"/>
                <w:kern w:val="0"/>
                <w:sz w:val="21"/>
                <w:szCs w:val="21"/>
              </w:rPr>
            </w:pPr>
            <w:r>
              <w:rPr>
                <w:rFonts w:hint="eastAsia"/>
                <w:kern w:val="0"/>
                <w:sz w:val="21"/>
                <w:szCs w:val="21"/>
              </w:rPr>
              <w:t>学生司</w:t>
            </w:r>
            <w:r>
              <w:rPr>
                <w:rFonts w:hint="eastAsia"/>
                <w:kern w:val="0"/>
                <w:sz w:val="21"/>
                <w:szCs w:val="21"/>
              </w:rPr>
              <w:br w:type="textWrapping"/>
            </w:r>
            <w:r>
              <w:rPr>
                <w:rFonts w:hint="eastAsia"/>
                <w:kern w:val="0"/>
                <w:sz w:val="21"/>
                <w:szCs w:val="21"/>
              </w:rPr>
              <w:t>财务司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（37）学生奖学金、助学金、学费减免、助学贷款、勤工俭学的申请与管理规定</w:t>
            </w:r>
            <w:r>
              <w:rPr>
                <w:rFonts w:hint="eastAsia"/>
                <w:b/>
                <w:bCs/>
                <w:color w:val="FF0000"/>
                <w:kern w:val="0"/>
                <w:sz w:val="21"/>
                <w:szCs w:val="21"/>
                <w:lang w:val="en-US" w:eastAsia="zh-CN"/>
              </w:rPr>
              <w:t>（学生工作部、研究生院）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（38）学生奖励处罚办法</w:t>
            </w:r>
            <w:r>
              <w:rPr>
                <w:rFonts w:hint="eastAsia"/>
                <w:b/>
                <w:bCs/>
                <w:color w:val="FF0000"/>
                <w:kern w:val="0"/>
                <w:sz w:val="21"/>
                <w:szCs w:val="21"/>
                <w:lang w:val="en-US" w:eastAsia="zh-CN"/>
              </w:rPr>
              <w:t>（学生工作部）</w:t>
            </w:r>
          </w:p>
        </w:tc>
        <w:tc>
          <w:tcPr>
            <w:tcW w:w="5722" w:type="dxa"/>
            <w:vAlign w:val="center"/>
          </w:tcPr>
          <w:p>
            <w:pPr>
              <w:widowControl/>
              <w:jc w:val="left"/>
              <w:rPr>
                <w:rFonts w:hint="eastAsia"/>
                <w:kern w:val="0"/>
                <w:sz w:val="21"/>
                <w:szCs w:val="21"/>
              </w:rPr>
            </w:pPr>
            <w:r>
              <w:rPr>
                <w:rFonts w:hint="eastAsia"/>
                <w:kern w:val="0"/>
                <w:sz w:val="21"/>
                <w:szCs w:val="21"/>
              </w:rPr>
              <w:t>《普通高等学校学生管理规定》（教育部令第21号）</w:t>
            </w: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（39）学生申诉办法</w:t>
            </w:r>
            <w:r>
              <w:rPr>
                <w:rFonts w:hint="eastAsia"/>
                <w:b/>
                <w:bCs/>
                <w:color w:val="FF0000"/>
                <w:kern w:val="0"/>
                <w:sz w:val="21"/>
                <w:szCs w:val="21"/>
                <w:lang w:val="en-US" w:eastAsia="zh-CN"/>
              </w:rPr>
              <w:t>（学生工作部）</w:t>
            </w:r>
          </w:p>
        </w:tc>
        <w:tc>
          <w:tcPr>
            <w:tcW w:w="5722" w:type="dxa"/>
            <w:vAlign w:val="center"/>
          </w:tcPr>
          <w:p>
            <w:pPr>
              <w:widowControl/>
              <w:jc w:val="left"/>
              <w:rPr>
                <w:rFonts w:hint="eastAsia"/>
                <w:kern w:val="0"/>
                <w:sz w:val="21"/>
                <w:szCs w:val="21"/>
              </w:rPr>
            </w:pPr>
            <w:r>
              <w:rPr>
                <w:rFonts w:hint="eastAsia"/>
                <w:kern w:val="0"/>
                <w:sz w:val="21"/>
                <w:szCs w:val="21"/>
              </w:rPr>
              <w:t>《高等学校信息公开办法》（教育部令第29号）</w:t>
            </w: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widowControl/>
              <w:jc w:val="center"/>
              <w:rPr>
                <w:rFonts w:hint="eastAsia"/>
                <w:kern w:val="0"/>
                <w:sz w:val="21"/>
                <w:szCs w:val="21"/>
              </w:rPr>
            </w:pPr>
            <w:r>
              <w:rPr>
                <w:rFonts w:hint="eastAsia"/>
                <w:kern w:val="0"/>
                <w:sz w:val="21"/>
                <w:szCs w:val="21"/>
              </w:rPr>
              <w:t>7</w:t>
            </w:r>
          </w:p>
        </w:tc>
        <w:tc>
          <w:tcPr>
            <w:tcW w:w="1441" w:type="dxa"/>
            <w:vMerge w:val="restart"/>
            <w:vAlign w:val="center"/>
          </w:tcPr>
          <w:p>
            <w:pPr>
              <w:widowControl/>
              <w:jc w:val="center"/>
              <w:rPr>
                <w:rFonts w:hint="eastAsia"/>
                <w:kern w:val="0"/>
                <w:sz w:val="21"/>
                <w:szCs w:val="21"/>
              </w:rPr>
            </w:pPr>
            <w:r>
              <w:rPr>
                <w:rFonts w:hint="eastAsia"/>
                <w:kern w:val="0"/>
                <w:sz w:val="21"/>
                <w:szCs w:val="21"/>
              </w:rPr>
              <w:t>学风建设</w:t>
            </w:r>
          </w:p>
          <w:p>
            <w:pPr>
              <w:widowControl/>
              <w:jc w:val="center"/>
              <w:rPr>
                <w:rFonts w:hint="eastAsia"/>
                <w:kern w:val="0"/>
                <w:sz w:val="21"/>
                <w:szCs w:val="21"/>
              </w:rPr>
            </w:pPr>
            <w:r>
              <w:rPr>
                <w:rFonts w:hint="eastAsia"/>
                <w:kern w:val="0"/>
                <w:sz w:val="21"/>
                <w:szCs w:val="21"/>
              </w:rPr>
              <w:t>信息</w:t>
            </w:r>
            <w:r>
              <w:rPr>
                <w:rFonts w:hint="eastAsia"/>
                <w:kern w:val="0"/>
                <w:sz w:val="21"/>
                <w:szCs w:val="21"/>
              </w:rPr>
              <w:br w:type="textWrapping"/>
            </w:r>
            <w:r>
              <w:rPr>
                <w:rFonts w:hint="eastAsia"/>
                <w:kern w:val="0"/>
                <w:sz w:val="21"/>
                <w:szCs w:val="21"/>
              </w:rPr>
              <w:t>（3项）</w:t>
            </w:r>
          </w:p>
        </w:tc>
        <w:tc>
          <w:tcPr>
            <w:tcW w:w="5844" w:type="dxa"/>
            <w:vAlign w:val="center"/>
          </w:tcPr>
          <w:p>
            <w:pPr>
              <w:widowControl/>
              <w:jc w:val="left"/>
              <w:rPr>
                <w:rFonts w:hint="eastAsia"/>
                <w:kern w:val="0"/>
                <w:sz w:val="21"/>
                <w:szCs w:val="21"/>
              </w:rPr>
            </w:pPr>
            <w:r>
              <w:rPr>
                <w:rFonts w:hint="eastAsia"/>
                <w:kern w:val="0"/>
                <w:sz w:val="21"/>
                <w:szCs w:val="21"/>
              </w:rPr>
              <w:t>（40）学风建设机构</w:t>
            </w:r>
            <w:r>
              <w:rPr>
                <w:rFonts w:hint="eastAsia"/>
                <w:b/>
                <w:bCs/>
                <w:color w:val="FF0000"/>
                <w:kern w:val="0"/>
                <w:sz w:val="21"/>
                <w:szCs w:val="21"/>
                <w:lang w:val="en-US" w:eastAsia="zh-CN"/>
              </w:rPr>
              <w:t>（教务处、学生工作部）</w:t>
            </w:r>
          </w:p>
        </w:tc>
        <w:tc>
          <w:tcPr>
            <w:tcW w:w="5722" w:type="dxa"/>
            <w:vMerge w:val="restart"/>
            <w:vAlign w:val="center"/>
          </w:tcPr>
          <w:p>
            <w:pPr>
              <w:widowControl/>
              <w:jc w:val="left"/>
              <w:rPr>
                <w:rFonts w:hint="eastAsia"/>
                <w:kern w:val="0"/>
                <w:sz w:val="21"/>
                <w:szCs w:val="21"/>
              </w:rPr>
            </w:pPr>
            <w:r>
              <w:rPr>
                <w:rFonts w:hint="eastAsia"/>
                <w:kern w:val="0"/>
                <w:sz w:val="21"/>
                <w:szCs w:val="21"/>
              </w:rPr>
              <w:t>《教育部关于切实加强和改进高等学校学风建设的实施意见》（教技〔2011〕1号）</w:t>
            </w:r>
          </w:p>
        </w:tc>
        <w:tc>
          <w:tcPr>
            <w:tcW w:w="907" w:type="dxa"/>
            <w:vMerge w:val="restart"/>
            <w:vAlign w:val="center"/>
          </w:tcPr>
          <w:p>
            <w:pPr>
              <w:widowControl/>
              <w:jc w:val="center"/>
              <w:rPr>
                <w:rFonts w:hint="eastAsia" w:hAnsi="宋体" w:cs="宋体"/>
                <w:kern w:val="0"/>
                <w:sz w:val="21"/>
                <w:szCs w:val="21"/>
              </w:rPr>
            </w:pPr>
            <w:r>
              <w:rPr>
                <w:rFonts w:hint="eastAsia" w:hAnsi="宋体" w:cs="宋体"/>
                <w:kern w:val="0"/>
                <w:sz w:val="21"/>
                <w:szCs w:val="21"/>
              </w:rPr>
              <w:t>社科司</w:t>
            </w:r>
            <w:r>
              <w:rPr>
                <w:rFonts w:hint="eastAsia" w:hAnsi="宋体" w:cs="宋体"/>
                <w:kern w:val="0"/>
                <w:sz w:val="21"/>
                <w:szCs w:val="21"/>
              </w:rPr>
              <w:br w:type="textWrapping"/>
            </w:r>
            <w:r>
              <w:rPr>
                <w:rFonts w:hint="eastAsia" w:hAnsi="宋体" w:cs="宋体"/>
                <w:kern w:val="0"/>
                <w:sz w:val="21"/>
                <w:szCs w:val="21"/>
              </w:rPr>
              <w:t>科技司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（41）学术规范制度</w:t>
            </w:r>
            <w:r>
              <w:rPr>
                <w:rFonts w:hint="eastAsia"/>
                <w:b/>
                <w:bCs/>
                <w:color w:val="FF0000"/>
                <w:kern w:val="0"/>
                <w:sz w:val="21"/>
                <w:szCs w:val="21"/>
                <w:lang w:val="en-US" w:eastAsia="zh-CN"/>
              </w:rPr>
              <w:t>（科学技术处）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（42）学术不端行为查处机制</w:t>
            </w:r>
            <w:r>
              <w:rPr>
                <w:rFonts w:hint="eastAsia"/>
                <w:b/>
                <w:bCs/>
                <w:color w:val="FF0000"/>
                <w:kern w:val="0"/>
                <w:sz w:val="21"/>
                <w:szCs w:val="21"/>
                <w:lang w:val="en-US" w:eastAsia="zh-CN"/>
              </w:rPr>
              <w:t>（科学技术处）</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widowControl/>
              <w:jc w:val="center"/>
              <w:rPr>
                <w:rFonts w:hint="eastAsia"/>
                <w:kern w:val="0"/>
                <w:sz w:val="21"/>
                <w:szCs w:val="21"/>
              </w:rPr>
            </w:pPr>
            <w:r>
              <w:rPr>
                <w:rFonts w:hint="eastAsia"/>
                <w:kern w:val="0"/>
                <w:sz w:val="21"/>
                <w:szCs w:val="21"/>
              </w:rPr>
              <w:t>8</w:t>
            </w:r>
          </w:p>
        </w:tc>
        <w:tc>
          <w:tcPr>
            <w:tcW w:w="1441" w:type="dxa"/>
            <w:vMerge w:val="restart"/>
            <w:vAlign w:val="center"/>
          </w:tcPr>
          <w:p>
            <w:pPr>
              <w:widowControl/>
              <w:jc w:val="center"/>
              <w:rPr>
                <w:rFonts w:hint="eastAsia"/>
                <w:kern w:val="0"/>
                <w:sz w:val="21"/>
                <w:szCs w:val="21"/>
              </w:rPr>
            </w:pPr>
            <w:r>
              <w:rPr>
                <w:rFonts w:hint="eastAsia"/>
                <w:kern w:val="0"/>
                <w:sz w:val="21"/>
                <w:szCs w:val="21"/>
              </w:rPr>
              <w:t>学位、学科</w:t>
            </w:r>
          </w:p>
          <w:p>
            <w:pPr>
              <w:widowControl/>
              <w:jc w:val="center"/>
              <w:rPr>
                <w:rFonts w:hint="eastAsia"/>
                <w:kern w:val="0"/>
                <w:sz w:val="21"/>
                <w:szCs w:val="21"/>
              </w:rPr>
            </w:pPr>
            <w:r>
              <w:rPr>
                <w:rFonts w:hint="eastAsia"/>
                <w:kern w:val="0"/>
                <w:sz w:val="21"/>
                <w:szCs w:val="21"/>
              </w:rPr>
              <w:t>信息</w:t>
            </w:r>
            <w:r>
              <w:rPr>
                <w:rFonts w:hint="eastAsia"/>
                <w:kern w:val="0"/>
                <w:sz w:val="21"/>
                <w:szCs w:val="21"/>
              </w:rPr>
              <w:br w:type="textWrapping"/>
            </w:r>
            <w:r>
              <w:rPr>
                <w:rFonts w:hint="eastAsia"/>
                <w:kern w:val="0"/>
                <w:sz w:val="21"/>
                <w:szCs w:val="21"/>
              </w:rPr>
              <w:t>（4项）</w:t>
            </w:r>
          </w:p>
        </w:tc>
        <w:tc>
          <w:tcPr>
            <w:tcW w:w="5844" w:type="dxa"/>
            <w:vAlign w:val="center"/>
          </w:tcPr>
          <w:p>
            <w:pPr>
              <w:widowControl/>
              <w:jc w:val="left"/>
              <w:rPr>
                <w:rFonts w:hint="eastAsia"/>
                <w:kern w:val="0"/>
                <w:sz w:val="21"/>
                <w:szCs w:val="21"/>
              </w:rPr>
            </w:pPr>
            <w:r>
              <w:rPr>
                <w:rFonts w:hint="eastAsia"/>
                <w:kern w:val="0"/>
                <w:sz w:val="21"/>
                <w:szCs w:val="21"/>
              </w:rPr>
              <w:t>（43）授予博士、硕士、学士学位的基本要求</w:t>
            </w:r>
            <w:r>
              <w:rPr>
                <w:rFonts w:hint="eastAsia"/>
                <w:b/>
                <w:bCs/>
                <w:color w:val="FF0000"/>
                <w:kern w:val="0"/>
                <w:sz w:val="21"/>
                <w:szCs w:val="21"/>
                <w:lang w:eastAsia="zh-CN"/>
              </w:rPr>
              <w:t>（</w:t>
            </w:r>
            <w:r>
              <w:rPr>
                <w:rFonts w:hint="eastAsia"/>
                <w:b/>
                <w:bCs/>
                <w:color w:val="FF0000"/>
                <w:kern w:val="0"/>
                <w:sz w:val="21"/>
                <w:szCs w:val="21"/>
                <w:lang w:val="en-US" w:eastAsia="zh-CN"/>
              </w:rPr>
              <w:t>研究生院）</w:t>
            </w:r>
          </w:p>
        </w:tc>
        <w:tc>
          <w:tcPr>
            <w:tcW w:w="572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kern w:val="0"/>
                <w:sz w:val="21"/>
                <w:szCs w:val="21"/>
              </w:rPr>
            </w:pPr>
            <w:r>
              <w:rPr>
                <w:rFonts w:hint="eastAsia"/>
                <w:kern w:val="0"/>
                <w:sz w:val="21"/>
                <w:szCs w:val="21"/>
              </w:rPr>
              <w:t>《高等学校信息公开办法》（教育部令第29号）</w:t>
            </w:r>
            <w:r>
              <w:rPr>
                <w:rFonts w:hint="eastAsia"/>
                <w:kern w:val="0"/>
                <w:sz w:val="21"/>
                <w:szCs w:val="21"/>
              </w:rPr>
              <w:br w:type="textWrapping"/>
            </w:r>
            <w:r>
              <w:rPr>
                <w:rFonts w:hint="eastAsia"/>
                <w:spacing w:val="-6"/>
                <w:kern w:val="0"/>
                <w:sz w:val="21"/>
                <w:szCs w:val="21"/>
              </w:rPr>
              <w:t>《关于进一步加强在职人员攻读硕士专业学位和授予同等学力人员硕士、博士学位管理工作的意见》（学位〔2013〕36号）</w:t>
            </w:r>
            <w:r>
              <w:rPr>
                <w:rFonts w:hint="eastAsia"/>
                <w:kern w:val="0"/>
                <w:sz w:val="21"/>
                <w:szCs w:val="21"/>
              </w:rPr>
              <w:br w:type="textWrapping"/>
            </w:r>
            <w:r>
              <w:rPr>
                <w:rFonts w:hint="eastAsia"/>
                <w:kern w:val="0"/>
                <w:sz w:val="21"/>
                <w:szCs w:val="21"/>
              </w:rPr>
              <w:t>《关于开展增列硕士专业学位授权点审核工作的通知》（学位〔2013〕37号）</w:t>
            </w:r>
            <w:r>
              <w:rPr>
                <w:rFonts w:hint="eastAsia"/>
                <w:kern w:val="0"/>
                <w:sz w:val="21"/>
                <w:szCs w:val="21"/>
              </w:rPr>
              <w:br w:type="textWrapping"/>
            </w:r>
            <w:r>
              <w:rPr>
                <w:rFonts w:hint="eastAsia"/>
                <w:spacing w:val="-6"/>
                <w:kern w:val="0"/>
                <w:sz w:val="21"/>
                <w:szCs w:val="21"/>
              </w:rPr>
              <w:t>《关于委托部分学位授予单位自行审核博士学位授权一级学科点和硕士学位授权一级学科点的通知》（学位〔2010〕18号）</w:t>
            </w:r>
            <w:r>
              <w:rPr>
                <w:rFonts w:hint="eastAsia"/>
                <w:kern w:val="0"/>
                <w:sz w:val="21"/>
                <w:szCs w:val="21"/>
              </w:rPr>
              <w:br w:type="textWrapping"/>
            </w:r>
            <w:r>
              <w:rPr>
                <w:rFonts w:hint="eastAsia"/>
                <w:spacing w:val="-6"/>
                <w:kern w:val="0"/>
                <w:sz w:val="21"/>
                <w:szCs w:val="21"/>
              </w:rPr>
              <w:t>《关于发布〈国务院学位委员会关于授予具有研究生毕业同等学力人员硕士、博士学位的规定〉的通知》（学位〔1998〕54号）</w:t>
            </w:r>
            <w:r>
              <w:rPr>
                <w:rFonts w:hint="eastAsia"/>
                <w:kern w:val="0"/>
                <w:sz w:val="21"/>
                <w:szCs w:val="21"/>
              </w:rPr>
              <w:br w:type="textWrapping"/>
            </w:r>
            <w:r>
              <w:rPr>
                <w:rFonts w:hint="eastAsia"/>
                <w:kern w:val="0"/>
                <w:sz w:val="21"/>
                <w:szCs w:val="21"/>
              </w:rPr>
              <w:t>《关于启用“全国同等学力人员申请硕士学位管理工作信息平台”的通知》（学位办〔2011〕70号）</w:t>
            </w:r>
          </w:p>
        </w:tc>
        <w:tc>
          <w:tcPr>
            <w:tcW w:w="907" w:type="dxa"/>
            <w:vMerge w:val="restart"/>
            <w:vAlign w:val="center"/>
          </w:tcPr>
          <w:p>
            <w:pPr>
              <w:widowControl/>
              <w:jc w:val="center"/>
              <w:rPr>
                <w:rFonts w:hint="eastAsia"/>
                <w:kern w:val="0"/>
                <w:sz w:val="21"/>
                <w:szCs w:val="21"/>
              </w:rPr>
            </w:pPr>
            <w:r>
              <w:rPr>
                <w:rFonts w:hint="eastAsia"/>
                <w:kern w:val="0"/>
                <w:sz w:val="21"/>
                <w:szCs w:val="21"/>
              </w:rPr>
              <w:t>研究生司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（44）拟授予硕士、博士学位同等学力人员资格审查和学力水平认定</w:t>
            </w:r>
            <w:r>
              <w:rPr>
                <w:rFonts w:hint="eastAsia"/>
                <w:b/>
                <w:bCs/>
                <w:color w:val="FF0000"/>
                <w:kern w:val="0"/>
                <w:sz w:val="21"/>
                <w:szCs w:val="21"/>
                <w:lang w:val="en-US" w:eastAsia="zh-CN"/>
              </w:rPr>
              <w:t>（研究生院）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（45）新增硕士、博士学位授权学科或专业学位授权点审核办法</w:t>
            </w:r>
            <w:r>
              <w:rPr>
                <w:rFonts w:hint="eastAsia"/>
                <w:b/>
                <w:bCs/>
                <w:color w:val="FF0000"/>
                <w:kern w:val="0"/>
                <w:sz w:val="21"/>
                <w:szCs w:val="21"/>
                <w:lang w:val="en-US" w:eastAsia="zh-CN"/>
              </w:rPr>
              <w:t>（研究生院）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default"/>
                <w:kern w:val="0"/>
                <w:sz w:val="21"/>
                <w:szCs w:val="21"/>
                <w:lang w:val="en-US"/>
              </w:rPr>
            </w:pPr>
            <w:r>
              <w:rPr>
                <w:rFonts w:hint="eastAsia"/>
                <w:kern w:val="0"/>
                <w:sz w:val="21"/>
                <w:szCs w:val="21"/>
              </w:rPr>
              <w:t>（46）拟新增学位授权学科或专业学位授权点的申报及论证材料</w:t>
            </w:r>
            <w:r>
              <w:rPr>
                <w:rFonts w:hint="eastAsia"/>
                <w:b/>
                <w:bCs/>
                <w:color w:val="FF0000"/>
                <w:kern w:val="0"/>
                <w:sz w:val="21"/>
                <w:szCs w:val="21"/>
                <w:lang w:val="en-US" w:eastAsia="zh-CN"/>
              </w:rPr>
              <w:t xml:space="preserve">（研究生院） </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9" w:type="dxa"/>
            <w:vMerge w:val="restart"/>
            <w:vAlign w:val="center"/>
          </w:tcPr>
          <w:p>
            <w:pPr>
              <w:widowControl/>
              <w:jc w:val="center"/>
              <w:rPr>
                <w:rFonts w:hint="eastAsia"/>
                <w:kern w:val="0"/>
                <w:sz w:val="21"/>
                <w:szCs w:val="21"/>
              </w:rPr>
            </w:pPr>
            <w:r>
              <w:rPr>
                <w:rFonts w:hint="eastAsia"/>
                <w:kern w:val="0"/>
                <w:sz w:val="21"/>
                <w:szCs w:val="21"/>
              </w:rPr>
              <w:t>9</w:t>
            </w:r>
          </w:p>
        </w:tc>
        <w:tc>
          <w:tcPr>
            <w:tcW w:w="1441" w:type="dxa"/>
            <w:vMerge w:val="restart"/>
            <w:vAlign w:val="center"/>
          </w:tcPr>
          <w:p>
            <w:pPr>
              <w:widowControl/>
              <w:jc w:val="center"/>
              <w:rPr>
                <w:rFonts w:hint="eastAsia"/>
                <w:kern w:val="0"/>
                <w:sz w:val="21"/>
                <w:szCs w:val="21"/>
              </w:rPr>
            </w:pPr>
            <w:r>
              <w:rPr>
                <w:rFonts w:hint="eastAsia"/>
                <w:kern w:val="0"/>
                <w:sz w:val="21"/>
                <w:szCs w:val="21"/>
              </w:rPr>
              <w:t>对外交流与合作信息</w:t>
            </w:r>
            <w:r>
              <w:rPr>
                <w:rFonts w:hint="eastAsia"/>
                <w:kern w:val="0"/>
                <w:sz w:val="21"/>
                <w:szCs w:val="21"/>
              </w:rPr>
              <w:br w:type="textWrapping"/>
            </w:r>
            <w:r>
              <w:rPr>
                <w:rFonts w:hint="eastAsia"/>
                <w:kern w:val="0"/>
                <w:sz w:val="21"/>
                <w:szCs w:val="21"/>
              </w:rPr>
              <w:t>（2项）</w:t>
            </w:r>
          </w:p>
        </w:tc>
        <w:tc>
          <w:tcPr>
            <w:tcW w:w="5844" w:type="dxa"/>
            <w:vAlign w:val="center"/>
          </w:tcPr>
          <w:p>
            <w:pPr>
              <w:widowControl/>
              <w:jc w:val="left"/>
              <w:rPr>
                <w:rFonts w:hint="eastAsia" w:eastAsia="仿宋_GB2312"/>
                <w:kern w:val="0"/>
                <w:sz w:val="21"/>
                <w:szCs w:val="21"/>
                <w:lang w:eastAsia="zh-CN"/>
              </w:rPr>
            </w:pPr>
            <w:r>
              <w:rPr>
                <w:rFonts w:hint="eastAsia"/>
                <w:kern w:val="0"/>
                <w:sz w:val="21"/>
                <w:szCs w:val="21"/>
              </w:rPr>
              <w:t>（47）中外合作办学情况</w:t>
            </w:r>
            <w:r>
              <w:rPr>
                <w:rFonts w:hint="eastAsia"/>
                <w:b/>
                <w:bCs/>
                <w:color w:val="FF0000"/>
                <w:kern w:val="0"/>
                <w:sz w:val="21"/>
                <w:szCs w:val="21"/>
                <w:lang w:val="en-US" w:eastAsia="zh-CN"/>
              </w:rPr>
              <w:t>（国际教育学院）</w:t>
            </w:r>
          </w:p>
        </w:tc>
        <w:tc>
          <w:tcPr>
            <w:tcW w:w="572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kern w:val="0"/>
                <w:sz w:val="21"/>
                <w:szCs w:val="21"/>
              </w:rPr>
            </w:pPr>
            <w:r>
              <w:rPr>
                <w:rFonts w:hint="eastAsia"/>
                <w:kern w:val="0"/>
                <w:sz w:val="21"/>
                <w:szCs w:val="21"/>
              </w:rPr>
              <w:t>《高等学校接受外国留学生管理规定》（教育部令第9号）</w:t>
            </w:r>
            <w:r>
              <w:rPr>
                <w:rFonts w:hint="eastAsia"/>
                <w:kern w:val="0"/>
                <w:sz w:val="21"/>
                <w:szCs w:val="21"/>
              </w:rPr>
              <w:br w:type="textWrapping"/>
            </w:r>
            <w:r>
              <w:rPr>
                <w:rFonts w:hint="eastAsia"/>
                <w:kern w:val="0"/>
                <w:sz w:val="21"/>
                <w:szCs w:val="21"/>
              </w:rPr>
              <w:t>《教育部关于进一步加强高等学校中外合作办学质量保障工作的意见》（教外办学〔2013〕91号）</w:t>
            </w:r>
          </w:p>
        </w:tc>
        <w:tc>
          <w:tcPr>
            <w:tcW w:w="907" w:type="dxa"/>
            <w:vMerge w:val="restart"/>
            <w:vAlign w:val="center"/>
          </w:tcPr>
          <w:p>
            <w:pPr>
              <w:widowControl/>
              <w:jc w:val="center"/>
              <w:rPr>
                <w:rFonts w:hint="eastAsia"/>
                <w:kern w:val="0"/>
                <w:sz w:val="21"/>
                <w:szCs w:val="21"/>
              </w:rPr>
            </w:pPr>
            <w:r>
              <w:rPr>
                <w:rFonts w:hint="eastAsia"/>
                <w:kern w:val="0"/>
                <w:sz w:val="21"/>
                <w:szCs w:val="21"/>
              </w:rPr>
              <w:t>国际司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（48）来华留学生管理相关规定</w:t>
            </w:r>
            <w:r>
              <w:rPr>
                <w:rFonts w:hint="eastAsia"/>
                <w:b/>
                <w:bCs/>
                <w:color w:val="FF0000"/>
                <w:kern w:val="0"/>
                <w:sz w:val="21"/>
                <w:szCs w:val="21"/>
                <w:lang w:val="en-US" w:eastAsia="zh-CN"/>
              </w:rPr>
              <w:t>（国际教育学院）</w:t>
            </w:r>
          </w:p>
        </w:tc>
        <w:tc>
          <w:tcPr>
            <w:tcW w:w="5722" w:type="dxa"/>
            <w:vMerge w:val="continue"/>
            <w:vAlign w:val="center"/>
          </w:tcPr>
          <w:p>
            <w:pPr>
              <w:widowControl/>
              <w:jc w:val="left"/>
              <w:rPr>
                <w:rFonts w:hint="eastAsia"/>
                <w:kern w:val="0"/>
                <w:sz w:val="21"/>
                <w:szCs w:val="21"/>
              </w:rPr>
            </w:pPr>
          </w:p>
        </w:tc>
        <w:tc>
          <w:tcPr>
            <w:tcW w:w="907" w:type="dxa"/>
            <w:vMerge w:val="continue"/>
            <w:vAlign w:val="center"/>
          </w:tcPr>
          <w:p>
            <w:pPr>
              <w:widowControl/>
              <w:jc w:val="left"/>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9" w:type="dxa"/>
            <w:vMerge w:val="restart"/>
            <w:vAlign w:val="center"/>
          </w:tcPr>
          <w:p>
            <w:pPr>
              <w:widowControl/>
              <w:jc w:val="center"/>
              <w:rPr>
                <w:rFonts w:hint="eastAsia"/>
                <w:kern w:val="0"/>
                <w:sz w:val="21"/>
                <w:szCs w:val="21"/>
              </w:rPr>
            </w:pPr>
          </w:p>
          <w:p>
            <w:pPr>
              <w:widowControl/>
              <w:jc w:val="center"/>
              <w:rPr>
                <w:rFonts w:hint="eastAsia"/>
                <w:kern w:val="0"/>
                <w:sz w:val="21"/>
                <w:szCs w:val="21"/>
              </w:rPr>
            </w:pPr>
            <w:r>
              <w:rPr>
                <w:rFonts w:hint="eastAsia"/>
                <w:kern w:val="0"/>
                <w:sz w:val="21"/>
                <w:szCs w:val="21"/>
              </w:rPr>
              <w:t>10</w:t>
            </w:r>
          </w:p>
          <w:p>
            <w:pPr>
              <w:widowControl/>
              <w:jc w:val="center"/>
              <w:rPr>
                <w:rFonts w:hint="eastAsia"/>
                <w:kern w:val="0"/>
                <w:sz w:val="21"/>
                <w:szCs w:val="21"/>
              </w:rPr>
            </w:pPr>
          </w:p>
        </w:tc>
        <w:tc>
          <w:tcPr>
            <w:tcW w:w="1441" w:type="dxa"/>
            <w:vMerge w:val="restart"/>
            <w:vAlign w:val="center"/>
          </w:tcPr>
          <w:p>
            <w:pPr>
              <w:widowControl/>
              <w:jc w:val="center"/>
              <w:rPr>
                <w:rFonts w:hint="eastAsia"/>
                <w:kern w:val="0"/>
                <w:sz w:val="21"/>
                <w:szCs w:val="21"/>
              </w:rPr>
            </w:pPr>
            <w:r>
              <w:rPr>
                <w:rFonts w:hint="eastAsia"/>
                <w:kern w:val="0"/>
                <w:sz w:val="21"/>
                <w:szCs w:val="21"/>
              </w:rPr>
              <w:t>其他</w:t>
            </w:r>
            <w:r>
              <w:rPr>
                <w:rFonts w:hint="eastAsia"/>
                <w:kern w:val="0"/>
                <w:sz w:val="21"/>
                <w:szCs w:val="21"/>
              </w:rPr>
              <w:br w:type="textWrapping"/>
            </w:r>
            <w:r>
              <w:rPr>
                <w:rFonts w:hint="eastAsia"/>
                <w:kern w:val="0"/>
                <w:sz w:val="21"/>
                <w:szCs w:val="21"/>
              </w:rPr>
              <w:t>（2项）</w:t>
            </w:r>
          </w:p>
        </w:tc>
        <w:tc>
          <w:tcPr>
            <w:tcW w:w="5844" w:type="dxa"/>
            <w:vAlign w:val="center"/>
          </w:tcPr>
          <w:p>
            <w:pPr>
              <w:widowControl/>
              <w:jc w:val="left"/>
              <w:rPr>
                <w:rFonts w:hint="eastAsia"/>
                <w:kern w:val="0"/>
                <w:sz w:val="21"/>
                <w:szCs w:val="21"/>
              </w:rPr>
            </w:pPr>
            <w:r>
              <w:rPr>
                <w:rFonts w:hint="eastAsia"/>
                <w:kern w:val="0"/>
                <w:sz w:val="21"/>
                <w:szCs w:val="21"/>
              </w:rPr>
              <w:t>（49）巡视组反馈意见，落实反馈意见整改情况</w:t>
            </w:r>
            <w:r>
              <w:rPr>
                <w:rFonts w:hint="eastAsia"/>
                <w:b/>
                <w:bCs/>
                <w:color w:val="FF0000"/>
                <w:kern w:val="0"/>
                <w:sz w:val="21"/>
                <w:szCs w:val="21"/>
                <w:lang w:val="en-US" w:eastAsia="zh-CN"/>
              </w:rPr>
              <w:t>（党办校办）</w:t>
            </w:r>
          </w:p>
        </w:tc>
        <w:tc>
          <w:tcPr>
            <w:tcW w:w="572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kern w:val="0"/>
                <w:sz w:val="21"/>
                <w:szCs w:val="21"/>
              </w:rPr>
            </w:pPr>
            <w:r>
              <w:rPr>
                <w:rFonts w:hint="eastAsia"/>
                <w:kern w:val="0"/>
                <w:sz w:val="21"/>
                <w:szCs w:val="21"/>
              </w:rPr>
              <w:t>《中共中央关于印发〈中国共产党巡视工作条例（试行）〉的通知》（中发〔2009〕7号）</w:t>
            </w:r>
            <w:r>
              <w:rPr>
                <w:rFonts w:hint="eastAsia"/>
                <w:kern w:val="0"/>
                <w:sz w:val="21"/>
                <w:szCs w:val="21"/>
              </w:rPr>
              <w:br w:type="textWrapping"/>
            </w:r>
            <w:r>
              <w:rPr>
                <w:rFonts w:hint="eastAsia"/>
                <w:kern w:val="0"/>
                <w:sz w:val="21"/>
                <w:szCs w:val="21"/>
              </w:rPr>
              <w:t>《中共教育部党组关于进一步加强和改进巡视工作的意见》（教党〔2013〕3号）</w:t>
            </w:r>
          </w:p>
        </w:tc>
        <w:tc>
          <w:tcPr>
            <w:tcW w:w="907" w:type="dxa"/>
            <w:vAlign w:val="center"/>
          </w:tcPr>
          <w:p>
            <w:pPr>
              <w:widowControl/>
              <w:jc w:val="center"/>
              <w:rPr>
                <w:rFonts w:hint="eastAsia"/>
                <w:kern w:val="0"/>
                <w:sz w:val="21"/>
                <w:szCs w:val="21"/>
              </w:rPr>
            </w:pPr>
            <w:r>
              <w:rPr>
                <w:rFonts w:hint="eastAsia"/>
                <w:kern w:val="0"/>
                <w:sz w:val="21"/>
                <w:szCs w:val="21"/>
              </w:rPr>
              <w:t>巡视办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09" w:type="dxa"/>
            <w:vMerge w:val="continue"/>
            <w:vAlign w:val="center"/>
          </w:tcPr>
          <w:p>
            <w:pPr>
              <w:widowControl/>
              <w:jc w:val="left"/>
              <w:rPr>
                <w:rFonts w:hint="eastAsia"/>
                <w:kern w:val="0"/>
                <w:sz w:val="21"/>
                <w:szCs w:val="21"/>
              </w:rPr>
            </w:pPr>
          </w:p>
        </w:tc>
        <w:tc>
          <w:tcPr>
            <w:tcW w:w="1441" w:type="dxa"/>
            <w:vMerge w:val="continue"/>
            <w:vAlign w:val="center"/>
          </w:tcPr>
          <w:p>
            <w:pPr>
              <w:widowControl/>
              <w:jc w:val="left"/>
              <w:rPr>
                <w:rFonts w:hint="eastAsia"/>
                <w:kern w:val="0"/>
                <w:sz w:val="21"/>
                <w:szCs w:val="21"/>
              </w:rPr>
            </w:pPr>
          </w:p>
        </w:tc>
        <w:tc>
          <w:tcPr>
            <w:tcW w:w="5844" w:type="dxa"/>
            <w:vAlign w:val="center"/>
          </w:tcPr>
          <w:p>
            <w:pPr>
              <w:widowControl/>
              <w:jc w:val="left"/>
              <w:rPr>
                <w:rFonts w:hint="eastAsia"/>
                <w:kern w:val="0"/>
                <w:sz w:val="21"/>
                <w:szCs w:val="21"/>
              </w:rPr>
            </w:pPr>
            <w:r>
              <w:rPr>
                <w:rFonts w:hint="eastAsia"/>
                <w:kern w:val="0"/>
                <w:sz w:val="21"/>
                <w:szCs w:val="21"/>
              </w:rPr>
              <w:t>（50）自然灾害等突发事件的应急处理预案、预警信息和处置情况，涉及学校的重大事件的调查和处理情况</w:t>
            </w:r>
            <w:r>
              <w:rPr>
                <w:rFonts w:hint="eastAsia"/>
                <w:b/>
                <w:bCs/>
                <w:color w:val="FF0000"/>
                <w:kern w:val="0"/>
                <w:sz w:val="21"/>
                <w:szCs w:val="21"/>
                <w:lang w:val="en-US" w:eastAsia="zh-CN"/>
              </w:rPr>
              <w:t>（后勤服务处、纪委、监察专员办公室）</w:t>
            </w:r>
          </w:p>
        </w:tc>
        <w:tc>
          <w:tcPr>
            <w:tcW w:w="5722" w:type="dxa"/>
            <w:vAlign w:val="center"/>
          </w:tcPr>
          <w:p>
            <w:pPr>
              <w:widowControl/>
              <w:jc w:val="left"/>
              <w:rPr>
                <w:rFonts w:hint="eastAsia"/>
                <w:kern w:val="0"/>
                <w:sz w:val="21"/>
                <w:szCs w:val="21"/>
              </w:rPr>
            </w:pPr>
            <w:r>
              <w:rPr>
                <w:rFonts w:hint="eastAsia"/>
                <w:kern w:val="0"/>
                <w:sz w:val="21"/>
                <w:szCs w:val="21"/>
              </w:rPr>
              <w:t>《高等学校信息公开办法》（教育部令第29号）</w:t>
            </w:r>
          </w:p>
        </w:tc>
        <w:tc>
          <w:tcPr>
            <w:tcW w:w="907" w:type="dxa"/>
            <w:vAlign w:val="center"/>
          </w:tcPr>
          <w:p>
            <w:pPr>
              <w:widowControl/>
              <w:jc w:val="center"/>
              <w:rPr>
                <w:rFonts w:hint="eastAsia"/>
                <w:kern w:val="0"/>
                <w:sz w:val="21"/>
                <w:szCs w:val="21"/>
              </w:rPr>
            </w:pPr>
            <w:r>
              <w:rPr>
                <w:rFonts w:hint="eastAsia"/>
                <w:kern w:val="0"/>
                <w:sz w:val="21"/>
                <w:szCs w:val="21"/>
              </w:rPr>
              <w:t>办公厅</w:t>
            </w:r>
          </w:p>
        </w:tc>
      </w:tr>
    </w:tbl>
    <w:p>
      <w:pPr>
        <w:rPr>
          <w:rFonts w:hint="eastAsia" w:eastAsia="仿宋_GB2312"/>
          <w:lang w:eastAsia="zh-CN"/>
        </w:rPr>
      </w:pPr>
    </w:p>
    <w:sectPr>
      <w:pgSz w:w="16838" w:h="11906" w:orient="landscape"/>
      <w:pgMar w:top="1531" w:right="2098" w:bottom="1531" w:left="2098" w:header="851" w:footer="1701" w:gutter="0"/>
      <w:pgNumType w:fmt="numberInDash"/>
      <w:cols w:space="720"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88A93"/>
    <w:multiLevelType w:val="singleLevel"/>
    <w:tmpl w:val="5F488A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3773"/>
    <w:rsid w:val="010F64A4"/>
    <w:rsid w:val="03311ECF"/>
    <w:rsid w:val="08147B5C"/>
    <w:rsid w:val="0882070B"/>
    <w:rsid w:val="0AC108CC"/>
    <w:rsid w:val="0B37071A"/>
    <w:rsid w:val="0B7D4251"/>
    <w:rsid w:val="0E0B29CB"/>
    <w:rsid w:val="0E594F36"/>
    <w:rsid w:val="0F0D5B32"/>
    <w:rsid w:val="13565D5C"/>
    <w:rsid w:val="13AC04BE"/>
    <w:rsid w:val="15504F54"/>
    <w:rsid w:val="1847544F"/>
    <w:rsid w:val="1AB33A6F"/>
    <w:rsid w:val="1B486EE1"/>
    <w:rsid w:val="1F29027D"/>
    <w:rsid w:val="20E716D4"/>
    <w:rsid w:val="255C17AC"/>
    <w:rsid w:val="256736E8"/>
    <w:rsid w:val="25B2430E"/>
    <w:rsid w:val="262B3735"/>
    <w:rsid w:val="26924B79"/>
    <w:rsid w:val="26F71C60"/>
    <w:rsid w:val="2D0A780D"/>
    <w:rsid w:val="30564ACF"/>
    <w:rsid w:val="33E26221"/>
    <w:rsid w:val="34150173"/>
    <w:rsid w:val="3B2C390E"/>
    <w:rsid w:val="40AF02B6"/>
    <w:rsid w:val="410B5EFF"/>
    <w:rsid w:val="41687722"/>
    <w:rsid w:val="418B5102"/>
    <w:rsid w:val="424340AE"/>
    <w:rsid w:val="43C754FD"/>
    <w:rsid w:val="45D80914"/>
    <w:rsid w:val="45FA24F3"/>
    <w:rsid w:val="4CEC310D"/>
    <w:rsid w:val="556409CF"/>
    <w:rsid w:val="58990D73"/>
    <w:rsid w:val="5B091834"/>
    <w:rsid w:val="5C22357F"/>
    <w:rsid w:val="5EA852DE"/>
    <w:rsid w:val="5ED452D6"/>
    <w:rsid w:val="61482431"/>
    <w:rsid w:val="68E13228"/>
    <w:rsid w:val="69A20CAC"/>
    <w:rsid w:val="6F1348AC"/>
    <w:rsid w:val="71B40E94"/>
    <w:rsid w:val="7CE625D2"/>
    <w:rsid w:val="7E67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2020-10-25T10:49:00Z</dcterms:created>
  <dc:creator>Administrator</dc:creator>
  <cp:lastModifiedBy>不倒翁</cp:lastModifiedBy>
  <cp:lastPrinted>2021-10-22T10:04:00Z</cp:lastPrinted>
  <dcterms:modified xsi:type="dcterms:W3CDTF">2022-11-25T02:42:49Z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